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USG 2020 — Vertretung der Bundesrepublik Deutschland</w:t>
      </w:r>
    </w:p>
    <w:p>
      <w:r>
        <w:rPr>
          <w:color w:val="555555"/>
          <w:sz w:val="18"/>
        </w:rPr>
        <w:t xml:space="preserve">Unterhaltssicherungsgesetz</w:t>
      </w:r>
    </w:p>
    <w:p>
      <w:r>
        <w:rPr>
          <w:color w:val="555555"/>
          <w:sz w:val="18"/>
        </w:rPr>
        <w:t xml:space="preserve">Stand: 10.01.2020 (konsolidierte Textfassung, kein amtliches Inkrafttretensdatum)</w:t>
      </w:r>
    </w:p>
    <w:p>
      <w:r>
        <w:t xml:space="preserve">Die Bundesministerin der Verteidigung oder der Bundesminister der Verteidigung kann die Vertretung der Bundesrepublik Deutschland in Rechtsstreitigkeiten nach diesem Gesetz durch allgemeine Anordnung übertragen. Die Anordnung ist im Bundesgesetzblatt zu veröffentlichen.</w:t>
      </w:r>
    </w:p>
    <w:p>
      <w:r>
        <w:rPr>
          <w:color w:val="555555"/>
          <w:sz w:val="17"/>
        </w:rPr>
        <w:t xml:space="preserve">Zitiervorschlag: § 29 USG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https://recht.nulegal.eu/gesetze/USG%202020/29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