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§ 2 URaG — Übernahme von Vorschriften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Maßgabe der nachfolgenden Bestimmungen treten die in der Bundesrepublik Deutschland geltenden abfallrechtlichen Vorschriften</w:t>
      </w:r>
    </w:p>
    <w:p>
      <w:pPr>
        <w:ind w:left="420"/>
      </w:pPr>
      <w:r>
        <w:t xml:space="preserve">1. der Anlage 1 Nr. 1 bis 6 und 9 am 1.7.1990Nr. 7 und 8 am 1.10.1990</w:t>
      </w:r>
    </w:p>
    <w:p>
      <w:pPr>
        <w:ind w:left="420"/>
      </w:pPr>
      <w:r>
        <w:t xml:space="preserve">2. der Anlage 2 am 1.1.1991</w:t>
      </w:r>
    </w:p>
    <w:p>
      <w:r>
        <w:t xml:space="preserve">in der jeweiligen Rechtsform als Gesetz, Rechtsverordnung oder allgemeine Verwaltungsvorschrift in Kraft.</w:t>
      </w:r>
    </w:p>
    <w:p>
      <w:r>
        <w:rPr>
          <w:color w:val="555555"/>
          <w:sz w:val="17"/>
        </w:rPr>
        <w:t xml:space="preserve">Zitiervorschlag: Art 4 § 2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https://recht.nulegal.eu/gesetze/URaG/4-2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