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 2 URaG — Übernahme und Außerkrafttreten von Vorschriften</w:t>
      </w:r>
    </w:p>
    <w:p>
      <w:r>
        <w:rPr>
          <w:color w:val="555555"/>
          <w:sz w:val="18"/>
        </w:rPr>
        <w:t xml:space="preserve">Umweltrahmengesetz</w:t>
      </w:r>
    </w:p>
    <w:p>
      <w:r>
        <w:rPr>
          <w:color w:val="555555"/>
          <w:sz w:val="18"/>
        </w:rPr>
        <w:t xml:space="preserve">Stand: 10.06.2019 (konsolidierte Textfassung, kein amtliches Inkrafttretensdatum)</w:t>
      </w:r>
    </w:p>
    <w:p>
      <w:r>
        <w:t xml:space="preserve">(1) Neben dem gemäß § 15 des Gesetzes vom 21.6.1990 über die Inkraftsetzung von Rechtsvorschriften der Bundesrepublik Deutschland in der Deutschen Demokratischen Republik in Kraft gesetzten Gesetz über die friedliche Verwendung der Kernenergie und den Schutz gegen ihre Gefahren - Atomgesetz - treten die in der Bundesrepublik Deutschland geltenden atomrechtlichen und strahlenschutzrechtlichen Vorschriften der Anlage 1 am 1.7.1990, der Anlage 2 am 1.1.1991 in der jeweiligen Rechtsform als Rechtsverordnung oder allgemeine Verwaltungsvorschrift in Kraft.</w:t>
      </w:r>
    </w:p>
    <w:p>
      <w:r>
        <w:t xml:space="preserve">(2)</w:t>
      </w:r>
    </w:p>
    <w:p>
      <w:r>
        <w:rPr>
          <w:color w:val="555555"/>
          <w:sz w:val="17"/>
        </w:rPr>
        <w:t xml:space="preserve">Zitiervorschlag: Art 2 § 2 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https://recht.nulegal.eu/gesetze/URaG/2-2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