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4 URaG — Altanlagen</w:t>
      </w:r>
    </w:p>
    <w:p>
      <w:r>
        <w:rPr>
          <w:color w:val="555555"/>
          <w:sz w:val="18"/>
        </w:rPr>
        <w:t xml:space="preserve">Umweltrahmengesetz</w:t>
      </w:r>
    </w:p>
    <w:p>
      <w:r>
        <w:rPr>
          <w:color w:val="555555"/>
          <w:sz w:val="18"/>
        </w:rPr>
        <w:t xml:space="preserve">Stand: 10.06.2019 (konsolidierte Textfassung, kein amtliches Inkrafttretensdatum)</w:t>
      </w:r>
    </w:p>
    <w:p>
      <w:r>
        <w:t xml:space="preserve">(1) Altanlagen sind Anlagen, die bis zum Zeitpunkt des Inkrafttretens der in § 2 Abs. 1 Nr. 1 dieses Artikels genannten Vorschriften errichtet worden sind oder mit deren Errichtung begonnen wurde.</w:t>
      </w:r>
    </w:p>
    <w:p>
      <w:r>
        <w:t xml:space="preserve">(2)</w:t>
      </w:r>
    </w:p>
    <w:p>
      <w:r>
        <w:t xml:space="preserve">(3) Eigentümer, Besitzer oder Erwerber von Anlagen und Grundstücken, die gewerblichen Zwecken dienen oder im Rahmen wirtschaftlicher Unternehmungen Verwendung finden, sind für die durch den Betrieb der Anlage oder die Benutzung des Grundstücks vor dem 1. Juli 1990 verursachten Schäden nicht verantwortlich, soweit die zuständige Behörde im Einvernehmen mit der obersten Landesbehörde sie von der Verantwortung freistellt. Eine Freistellung kann erfolgen, wenn dies unter Abwägung der Interessen des Eigentümers, des Besitzers oder des Erwerbers, der durch den Betrieb der Anlage oder die Benutzung des Grundstücks möglicherweise Geschädigten, der Allgemeinheit und des Umweltschutzes geboten ist. Die Freistellung kann mit Auflagen versehen werden. Der Antrag auf Freistellung muß spätestens innerhalb eines Jahres nach Inkrafttreten des Gesetzes zur Beseitigung von Hemmnissen bei der Privatisierung von Unternehmen und zur Förderung von Investitionen *) gestellt sein. Im Falle der Freistellung treten an Stelle privatrechtlicher, nicht auf besonderen Titeln beruhender Ansprüche zur Abwehr benachteiligender Einwirkungen von einem Grundstück auf ein benachbartes Grundstück Ansprüche auf Schadensersatz. Die zuständige Behörde kann vom Eigentümer, Besitzer oder Erwerber jedoch Vorkehrungen zum Schutz vor benachteiligenden Einwirkungen verlangen, soweit diese nach dem Stand der Technik durchführbar und wirtschaftlich vertretbar sind. Im übrigen kann die Freistellung nach Satz 1 auch hinsichtlich der Ansprüche auf Schadensersatz nach Satz 5 sowie nach sonstigen Vorschriften erfolgen; auch in diesem Falle ist das Land Schuldner der Schadensersatzansprüche. -----</w:t>
      </w:r>
    </w:p>
    <w:p>
      <w:pPr>
        <w:ind w:left="420"/>
      </w:pPr>
      <w:r>
        <w:t xml:space="preserve">*) (G v. 22.3.1991 I 766, 1928; nach seinem Art. 15 am 29.3.1991 in Kraft getreten)</w:t>
      </w:r>
    </w:p>
    <w:p>
      <w:r>
        <w:rPr>
          <w:color w:val="555555"/>
          <w:sz w:val="17"/>
        </w:rPr>
        <w:t xml:space="preserve">Zitiervorschlag: Art 1 § 4 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