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2 URaG — Übernahme von Vorschriften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Maßgabe der nachfolgenden Bestimmungen treten die in der Bundesrepublik Deutschland geltenden immissionsschutzrechtlichen Vorschriften</w:t>
      </w:r>
    </w:p>
    <w:p>
      <w:pPr>
        <w:ind w:left="420"/>
      </w:pPr>
      <w:r>
        <w:t xml:space="preserve">1. der Anlage 1 am 1. Juli 1990</w:t>
      </w:r>
    </w:p>
    <w:p>
      <w:pPr>
        <w:ind w:left="420"/>
      </w:pPr>
      <w:r>
        <w:t xml:space="preserve">2. der Anlage 2 am 1. Januar 1991</w:t>
      </w:r>
    </w:p>
    <w:p>
      <w:r>
        <w:t xml:space="preserve">in der jeweiligen Rechtsform als Gesetz, Rechtsverordnung oder allgemeine Verwaltungsvorschrift in der Deutschen Demokratischen Republik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1 § 2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https://recht.nulegal.eu/gesetze/URaG/1-2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