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URüV — Verzinsung der Ausgleichsforderungen und Ausgleichsverbindlichkeiten</w:t>
      </w:r>
    </w:p>
    <w:p>
      <w:r>
        <w:rPr>
          <w:color w:val="555555"/>
          <w:sz w:val="18"/>
        </w:rPr>
        <w:t xml:space="preserve">Unternehmensrückgabeverordnung</w:t>
      </w:r>
    </w:p>
    <w:p>
      <w:r>
        <w:rPr>
          <w:color w:val="555555"/>
          <w:sz w:val="18"/>
        </w:rPr>
        <w:t xml:space="preserve">Stand: 10.06.2019 (konsolidierte Textfassung, kein amtliches Inkrafttretensdatum)</w:t>
      </w:r>
    </w:p>
    <w:p>
      <w:r>
        <w:t xml:space="preserve">(1) Ausgleichsforderungen und Ausgleichsverbindlichkeiten nach § 6 Abs. 2 bis 4 des Vermögensgesetzes sind vom Tag der Rückgabe des Unternehmens an zu verzinsen. Der Zinssatz entspricht dem am zweiten Geschäftstag vor dem Beginn einer Zinsperiode ("Zinsfestlegungstag") in Frankfurt am Main von Telerate im FIBOR-Fixing ermittelten und auf der Telerate Bildschirmseite 22 000 veröffentlichten Satz. Im Falle höherer Gewalt, die eine Eingabe und Ermittlung über Telerate ausschließt, sind die an die Deutsche Bundesbank, die ihrerseits für eine entsprechende zeitnahe Veröffentlichung sorgt, gemeldeten Quotierungen maßgebend. Die Zinsen sind vierteljährlich nachträglich fällig. Zwischen dem Gläubiger und dem Schuldner kann eine von Satz 1 bis 4 abweichende Vereinbarung getroffen werden.</w:t>
      </w:r>
    </w:p>
    <w:p>
      <w:r>
        <w:t xml:space="preserve">(2) Soweit Schuldner und Gläubiger keine abweichende Vereinbarung treffen, sind die Ausgleichsforderungen und Ausgleichsverbindlichkeiten beginnend mit dem 1. Juli 1995 jährlich in Höhe von 2,5 vom Hundert ihres Nennwertes zu tilgen. Absatz 1 Satz 4 ist entsprechend anzuwenden. Der Schuldner ist zur weitergehenden Tilgung jederzeit berechtigt; er ist hierzu verpflichtet, soweit er Vermögensgegenstände veräußert, die für die Ausgleichsverbindlichkeit ursächlich waren.</w:t>
      </w:r>
    </w:p>
    <w:p>
      <w:r>
        <w:rPr>
          <w:color w:val="555555"/>
          <w:sz w:val="17"/>
        </w:rPr>
        <w:t xml:space="preserve">Zitiervorschlag: § 7 URüV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https://recht.nulegal.eu/gesetze/UR%C3%BCV/7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