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URüV — Inkrafttreten</w:t>
      </w:r>
    </w:p>
    <w:p>
      <w:r>
        <w:rPr>
          <w:color w:val="555555"/>
          <w:sz w:val="18"/>
        </w:rPr>
        <w:t xml:space="preserve">Unternehmensrückgabeverordnung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20 URüV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https://recht.nulegal.eu/gesetze/UR%C3%BCV/20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