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URüV — Antrag auf Rückgabe</w:t>
      </w:r>
    </w:p>
    <w:p>
      <w:r>
        <w:rPr>
          <w:color w:val="555555"/>
          <w:sz w:val="18"/>
        </w:rPr>
        <w:t xml:space="preserve">Unternehmensrückgabeverordnung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Antrag auf Rückgabe eines Unternehmens von einer in § 6 Abs. 6 Satz 1 des Vermögensgesetzes bezeichneten Person gestellt, so gilt der Antrag als für das geschädigte Unternehmen gestellt. Kommt das nach § 6 Abs. 1a des Vermögensgesetzes erforderliche Quorum nicht zustande, so ist der Antrag als Antrag auf Entschädigung nach § 6 Abs. 6a Satz 4 des Vermögensgesetzes zu behandeln. Jeder Berechtigte kann statt dessen Entschädigung nach § 6 Abs. 7 des Vermögensgesetzes verlangen.</w:t>
      </w:r>
    </w:p>
    <w:p>
      <w:r>
        <w:t xml:space="preserve">(2) Ist der Antrag auf Rückgabe eines Unternehmens von einem Anteilseigner des geschädigten Unternehmens gestellt und das erforderliche Quorum erreicht worden, so bleibt die Entscheidung, ob statt dessen die Entschädigung nach § 6 Abs. 6 Satz 3 des Vermögensgesetzes gewählt wird, dem geschädigten Unternehmen als dem Berechtigten vorbehalten.</w:t>
      </w:r>
    </w:p>
    <w:p>
      <w:r>
        <w:rPr>
          <w:color w:val="555555"/>
          <w:sz w:val="17"/>
        </w:rPr>
        <w:t xml:space="preserve">Zitiervorschlag: § 18 URüV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https://recht.nulegal.eu/gesetze/UR%C3%BCV/18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