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URüV — Behandlung staatlicher Beteiligungen</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Für die Abwicklung von staatlichen Beteiligungen nach § 6 Abs. 5c des Vermögensgesetzes ist das Landesamt zuständig, das für die Rückgabe des Unternehmens, an dem die Beteiligung besteht, zuständig ist. Es entscheidet über den Antrag der Gesellschafter oder deren Rechtsnachfolger, wenn und soweit eine Einigung mit dem Verfügungsberechtigten über die staatliche Beteiligung nicht zustande kommt.</w:t>
      </w:r>
    </w:p>
    <w:p>
      <w:r>
        <w:t xml:space="preserve">(2) Ist eine staatliche Beteiligung entgegen § 6 Abs. 5c des Vermögensgesetzes an einen Berechtigten verkauft worden und macht dieser von seinem Rücktrittsrecht Gebrauch, so hat das nach Absatz 1 zuständige Landesamt auf Antrag des zurückgetretenen Käufers die Rückabwicklung anzuordnen, soweit eine Einigung mit dem Verkäufer der staatlichen Beteiligung nicht zustande kommt.</w:t>
      </w:r>
    </w:p>
    <w:p>
      <w:r>
        <w:rPr>
          <w:color w:val="555555"/>
          <w:sz w:val="17"/>
        </w:rPr>
        <w:t xml:space="preserve">Zitiervorschlag: § 16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URüV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