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UNWaVtrÜbkG</w:t>
      </w:r>
    </w:p>
    <w:p>
      <w:r>
        <w:rPr>
          <w:color w:val="555555"/>
          <w:sz w:val="18"/>
        </w:rPr>
        <w:t xml:space="preserve">Gesetz zu dem Übereinkommen der Vereinten Nationen vom 11. April 1980 über Verträge über den internationalen Warenkauf sowie zur Änderung des Gesetzes zu dem Übereinkommen vom 19. Mai 1956 über den Beförderungsvertrag im internationalen Straßengüterverkehr (CMR)</w:t>
      </w:r>
    </w:p>
    <w:p>
      <w:r>
        <w:rPr>
          <w:color w:val="555555"/>
          <w:sz w:val="18"/>
        </w:rPr>
        <w:t xml:space="preserve">Stand: 10.06.2019 (konsolidierte Textfassung, kein amtliches Inkrafttretensdatum)</w:t>
      </w:r>
    </w:p>
    <w:p>
      <w:r>
        <w:t xml:space="preserve">(1) Das Einheitliche Gesetz über den internationalen Kauf beweglicher Sachen vom 17. Juli 1973 (BGBl. I S. 856) und das Einheitliche Gesetz über den Abschluß von internationalen Kaufverträgen über bewegliche Sachen vom 17. Juli 1973 (BGBl. I S. 868) werden aufgehoben.</w:t>
      </w:r>
    </w:p>
    <w:p>
      <w:r>
        <w:t xml:space="preserve">(2) Für Verträge, die Gegenstand des Einheitlichen Gesetzes über den internationalen Kauf beweglicher Sachen sind, bleibt dieses Einheitliche Gesetz maßgebend, sofern der Vertrag vor dem Tage geschlossen wird, an dem das Übereinkommen von 1980 für die Bundesrepublik Deutschland in Kraft tritt. Für den Abschluß solcher Verträge bleibt das Einheitliche Gesetz über den Abschluß von internationalen Kaufverträgen über bewegliche Sachen maßgebend, sofern das Angebot zum Abschluß des Vertrages vor dem Tage gemacht wird, an dem das Übereinkommen von 1980 für die Bundesrepublik Deutschland in Kraft tritt.</w:t>
      </w:r>
    </w:p>
    <w:p>
      <w:r>
        <w:rPr>
          <w:color w:val="555555"/>
          <w:sz w:val="17"/>
        </w:rPr>
        <w:t xml:space="preserve">Zitiervorschlag: Art 5 UNWaVtrÜbkG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https://recht.nulegal.eu/gesetze/UNWaVtr%C3%9CbkG/5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