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UNSOrgVorRV 3</w:t>
      </w:r>
    </w:p>
    <w:p>
      <w:r>
        <w:rPr>
          <w:color w:val="555555"/>
          <w:sz w:val="18"/>
        </w:rPr>
        <w:t xml:space="preserve">Dritte 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vom 21. November 1947 über die Vorrechte und Befreiungen der Sonderorganisationen der Vereinten Nationen und über die Gewährung von Vorrechten und Befreiungen an andere zwischenstaatliche Organisationen (BGBl. 1954 II S. 639), der durch das Gesetz vom 16. August 1980 (BGBl. II S. 941) neu gefaßt wurde, verordnet die Bundesregierung:</w:t>
      </w:r>
    </w:p>
    <w:p>
      <w:r>
        <w:rPr>
          <w:color w:val="555555"/>
          <w:sz w:val="17"/>
        </w:rPr>
        <w:t xml:space="preserve">Zitiervorschlag: Eingangsformel UNSOrgVorRV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https://recht.nulegal.eu/gesetze/UNSOrgVorRV%203/eingangsformel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