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UNSOrgVorRV 3</w:t>
      </w:r>
    </w:p>
    <w:p>
      <w:r>
        <w:rPr>
          <w:color w:val="555555"/>
          <w:sz w:val="18"/>
        </w:rPr>
        <w:t xml:space="preserve">Dritte Verordnung über die Gewährung von Vorrechten und Befreiungen an die Sonderorganisationen der Vereinten Nationen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gilt nach § 14 des Dritten Überleitungsgesetzes in Verbindung mit Artikel 4 des in der Eingangsformel genannten Gesetzes vom 22. Juni 1954, der durch das Gesetz vom 28. Februar 1964 (BGBl. II S. 187) neu gefaßt wurde, auch im Land Berlin.</w:t>
      </w:r>
    </w:p>
    <w:p>
      <w:r>
        <w:rPr>
          <w:color w:val="555555"/>
          <w:sz w:val="17"/>
        </w:rPr>
        <w:t xml:space="preserve">Zitiervorschlag: § 2 UNSOrgVorRV 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https://recht.nulegal.eu/gesetze/UNSOrgVorRV%203/2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