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UNSOrgVorRV 3</w:t>
      </w:r>
    </w:p>
    <w:p>
      <w:r>
        <w:rPr>
          <w:color w:val="555555"/>
          <w:sz w:val="18"/>
        </w:rPr>
        <w:t xml:space="preserve">Dritte Verordnung über die Gewährung von Vorrechten und Befreiungen an die Sonderorganisationen der Vereinten Nationen</w:t>
      </w:r>
    </w:p>
    <w:p>
      <w:r>
        <w:rPr>
          <w:color w:val="555555"/>
          <w:sz w:val="18"/>
        </w:rPr>
        <w:t xml:space="preserve">Stand: 10.06.2019 (konsolidierte Textfassung, kein amtliches Inkrafttretensdatum)</w:t>
      </w:r>
    </w:p>
    <w:p>
      <w:r>
        <w:t xml:space="preserve">Für die Gewährung von Vorrechten und Befreiungen an die Sonderorganisation der Vereinten Nationen für industrielle Entwicklung (UNIDO) gilt das Abkommen über die Vorrechte und Befreiungen der Sonderorganisationen der Vereinten Nationen vom 21. November 1947 mit seiner Anlage XVII. Die Anlage XVII wird nachstehend mit einer amtlichen deutschen Übersetzung veröffentlicht.</w:t>
      </w:r>
    </w:p>
    <w:p>
      <w:r>
        <w:rPr>
          <w:color w:val="555555"/>
          <w:sz w:val="17"/>
        </w:rPr>
        <w:t xml:space="preserve">Zitiervorschlag: § 1 UNSOrgVorRV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https://recht.nulegal.eu/gesetze/UNSOrgVorRV%203/1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