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UNSOrgVorRV 2</w:t>
      </w:r>
    </w:p>
    <w:p>
      <w:r>
        <w:rPr>
          <w:color w:val="555555"/>
          <w:sz w:val="18"/>
        </w:rPr>
        <w:t xml:space="preserve">Zweite 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(1) Diese Verordnung tritt an dem Tage in Kraft, an dem die betreffenden Anlagen für die Bundesrepublik Deutschland in Kraft treten; der Tag des Inkrafttretens ist im Bundesgesetzblatt bekanntzugeben.</w:t>
      </w:r>
    </w:p>
    <w:p>
      <w:r>
        <w:t xml:space="preserve">(2) Diese Verordnung tritt an dem Tage außer Kraft, an dem die in § 1 genannten völkerrechtlichen Vereinbarungen außer Kraft treten. Im Falle des Außerkrafttretens einzelner Anlagen tritt die Verordnung insoweit außer Kraft, als sie sich auf diese Anlagen bezieht. Der Tag des Außerkrafttretens ist im Bundesgesetzblatt bekanntzugeben.</w:t>
      </w:r>
    </w:p>
    <w:p>
      <w:r>
        <w:rPr>
          <w:color w:val="555555"/>
          <w:sz w:val="17"/>
        </w:rPr>
        <w:t xml:space="preserve">Zitiervorschlag: § 3 UNSOrgVorRV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