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UNSOrgVorRV 2</w:t>
      </w:r>
    </w:p>
    <w:p>
      <w:r>
        <w:rPr>
          <w:color w:val="555555"/>
          <w:sz w:val="18"/>
        </w:rPr>
        <w:t xml:space="preserve">Zweite Verordnung über die Gewährung von Vorrechten und Befreiungen an die Sonderorganisationen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Befreiungen an die folgenden Sonderorganisationen der Vereinten Nationen:</w:t>
      </w:r>
    </w:p>
    <w:p>
      <w:pPr>
        <w:ind w:left="420"/>
      </w:pPr>
      <w:r>
        <w:t xml:space="preserve">Weltorganisation für geistiges Eigentum(WIPO - Anlage XV -)Internationaler Fonds für landwirtschaftliche Entwicklung(IFAD - Anlage XVI -)</w:t>
      </w:r>
    </w:p>
    <w:p>
      <w:r>
        <w:t xml:space="preserve">gilt das Abkommen über die Vorrechte und Befreiungen der Sonderorganisationen der Vereinten Nationen mit seinen Anlagen XV und XVI, die nachstehend veröffentlicht werden.</w:t>
      </w:r>
    </w:p>
    <w:p>
      <w:r>
        <w:rPr>
          <w:color w:val="555555"/>
          <w:sz w:val="17"/>
        </w:rPr>
        <w:t xml:space="preserve">Zitiervorschlag: § 1 UNSOrgVorRV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https://recht.nulegal.eu/gesetze/UNSOrgVorRV%202/1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