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UNFreiwProgrAbkG</w:t>
      </w:r>
    </w:p>
    <w:p>
      <w:r>
        <w:rPr>
          <w:color w:val="555555"/>
          <w:sz w:val="18"/>
        </w:rPr>
        <w:t xml:space="preserve">Gesetz zu dem Abkommen vom 10. November 1995 zwischen der Bundesrepublik Deutschland und den Vereinten Nationen über den Sitz des Freiwilligenprogramms der Vereinten Nationen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27 Abs. 5 sowie der Notenwechsel in Kraft treten, ist im Bundesgesetzblatt bekanntzugeben.</w:t>
      </w:r>
    </w:p>
    <w:p>
      <w:r>
        <w:rPr>
          <w:color w:val="555555"/>
          <w:sz w:val="17"/>
        </w:rPr>
        <w:t xml:space="preserve">Zitiervorschlag: Art 4 UNFreiwProgrAbkG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https://recht.nulegal.eu/gesetze/UNFreiwProgrAbkG/4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