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UNFrBüroVbgV</w:t>
      </w:r>
    </w:p>
    <w:p>
      <w:r>
        <w:rPr>
          <w:color w:val="555555"/>
          <w:sz w:val="18"/>
        </w:rPr>
        <w:t xml:space="preserve">Verordnung zu der Vereinbarung zwischen der Regierung der Bundesrepublik Deutschland und dem Freiwilligenprogramm der Vereinten Nationen über die Errichtung eines Büros der Einheit der Vereinten Nationen für Gleichstellung und Stärkung der Frauen (UN-Frauen) in Bonn</w:t>
      </w:r>
    </w:p>
    <w:p>
      <w:r>
        <w:rPr>
          <w:color w:val="555555"/>
          <w:sz w:val="18"/>
        </w:rPr>
        <w:t xml:space="preserve">Stand: 15.11.2025 (konsolidierte Textfassung, kein amtliches Inkrafttretensdatum)</w:t>
      </w:r>
    </w:p>
    <w:p>
      <w:r>
        <w:t xml:space="preserve">(1) Diese Verordnung tritt an dem Tag in Kraft, an dem die durch Notenwechsel geschlossene Vereinbarung nach der Inkrafttretensklausel der deutschen Antwortnote in Kraft tritt.</w:t>
      </w:r>
    </w:p>
    <w:p>
      <w:r>
        <w:t xml:space="preserve">(2) Diese Verordnung tritt an dem Tag außer Kraft, an dem die durch Notenwechsel geschlossene Vereinbarung außer Kraft tritt.</w:t>
      </w:r>
    </w:p>
    <w:p>
      <w:r>
        <w:t xml:space="preserve">(3) Der Tag des Inkrafttretens und der Tag des Außerkrafttretens sind im Bundesgesetzblatt bekannt zu geben.</w:t>
      </w:r>
    </w:p>
    <w:p>
      <w:r>
        <w:rPr>
          <w:color w:val="555555"/>
          <w:sz w:val="17"/>
        </w:rPr>
        <w:t xml:space="preserve">Zitiervorschlag: Art 3 UNFrBüroVbgV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https://recht.nulegal.eu/gesetze/UNFrB%C3%BCroVbgV/3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