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UKlaG — Besonderheiten der Urteilsformel</w:t>
      </w:r>
    </w:p>
    <w:p>
      <w:r>
        <w:rPr>
          <w:color w:val="555555"/>
          <w:sz w:val="18"/>
        </w:rPr>
        <w:t xml:space="preserve">Unterlassungsklagengesetz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Erachtet das Gericht die Klage nach § 1 für begründet, so enthält die Urteilsformel auch:</w:t>
      </w:r>
    </w:p>
    <w:p>
      <w:pPr>
        <w:ind w:left="420"/>
      </w:pPr>
      <w:r>
        <w:t xml:space="preserve">1. die beanstandeten Bestimmungen der Allgemeinen Geschäftsbedingungen im Wortlaut,</w:t>
      </w:r>
    </w:p>
    <w:p>
      <w:pPr>
        <w:ind w:left="420"/>
      </w:pPr>
      <w:r>
        <w:t xml:space="preserve">2. die Bezeichnung der Art der Rechtsgeschäfte, für welche die den Unterlassungsanspruch begründenden Bestimmungen der Allgemeinen Geschäftsbedingungen nicht verwendet oder empfohlen werden dürfen,</w:t>
      </w:r>
    </w:p>
    <w:p>
      <w:pPr>
        <w:ind w:left="420"/>
      </w:pPr>
      <w:r>
        <w:t xml:space="preserve">3. das Gebot, die Verwendung oder Empfehlung inhaltsgleicher Bestimmungen in Allgemeinen Geschäftsbedingungen zu unterlassen,</w:t>
      </w:r>
    </w:p>
    <w:p>
      <w:pPr>
        <w:ind w:left="420"/>
      </w:pPr>
      <w:r>
        <w:t xml:space="preserve">4. für den Fall der Verurteilung zum Widerruf das Gebot, das Urteil in gleicher Weise bekannt zu geben, wie die Empfehlung verbreitet wurde.</w:t>
      </w:r>
    </w:p>
    <w:p>
      <w:r>
        <w:rPr>
          <w:color w:val="555555"/>
          <w:sz w:val="17"/>
        </w:rPr>
        <w:t xml:space="preserve">Zitiervorschlag: § 9 UKlaG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https://recht.nulegal.eu/gesetze/UKlaG/9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