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UKlaG — Klageantrag und Anhörung</w:t>
      </w:r>
    </w:p>
    <w:p>
      <w:r>
        <w:rPr>
          <w:color w:val="555555"/>
          <w:sz w:val="18"/>
        </w:rPr>
        <w:t xml:space="preserve">Unterlassungsklagengesetz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Klageantrag muss bei Klagen nach § 1 auch enthalten:</w:t>
      </w:r>
    </w:p>
    <w:p>
      <w:pPr>
        <w:ind w:left="420"/>
      </w:pPr>
      <w:r>
        <w:t xml:space="preserve">1. den Wortlaut der beanstandeten Bestimmungen in Allgemeinen Geschäftsbedingungen,</w:t>
      </w:r>
    </w:p>
    <w:p>
      <w:pPr>
        <w:ind w:left="420"/>
      </w:pPr>
      <w:r>
        <w:t xml:space="preserve">2. die Bezeichnung der Art der Rechtsgeschäfte, für die die Bestimmungen beanstandet werden.</w:t>
      </w:r>
    </w:p>
    <w:p>
      <w:r>
        <w:t xml:space="preserve">(2) Das Gericht hat vor der Entscheidung über eine Klage nach § 1 die Bundesanstalt für Finanzdienstleistungsaufsicht zu hören, wenn Gegenstand der Klage</w:t>
      </w:r>
    </w:p>
    <w:p>
      <w:pPr>
        <w:ind w:left="420"/>
      </w:pPr>
      <w:r>
        <w:t xml:space="preserve">1. Bestimmungen in Allgemeinen Versicherungsbedingungen sind oder</w:t>
      </w:r>
    </w:p>
    <w:p>
      <w:pPr>
        <w:ind w:left="420"/>
      </w:pPr>
      <w:r>
        <w:t xml:space="preserve">2. Bestimmungen in Allgemeinen Geschäftsbedingungen sind, für die nach dem Bausparkassengesetz oder dem Kapitalanlagegesetzbuch eine Genehmigung vorgesehen ist.</w:t>
      </w:r>
    </w:p>
    <w:p>
      <w:r>
        <w:rPr>
          <w:color w:val="555555"/>
          <w:sz w:val="17"/>
        </w:rPr>
        <w:t xml:space="preserve">Zitiervorschlag: § 8 UKlaG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https://recht.nulegal.eu/gesetze/UKlaG/8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