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UKlaG — Anwendung der Zivilprozessordnung und anderer Vorschriften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02.12.2020 (konsolidierte Textfassung, kein amtliches Inkrafttretensdatum)</w:t>
      </w:r>
    </w:p>
    <w:p>
      <w:r>
        <w:t xml:space="preserve">Auf das Verfahren sind die Vorschriften der Zivilprozessordnung und § 12 Absatz 1, 3 und 4, § 13 Absatz 1 bis 3 und 5 sowie § 13a des Gesetzes gegen den unlauteren Wettbewerb anzuwenden, soweit sich aus diesem Gesetz nicht etwas anderes ergibt.</w:t>
      </w:r>
    </w:p>
    <w:p>
      <w:r>
        <w:rPr>
          <w:color w:val="555555"/>
          <w:sz w:val="17"/>
        </w:rPr>
        <w:t xml:space="preserve">Zitiervorschlag: § 5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