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4f UKlaG — Verordnungsermächtigung</w:t>
      </w:r>
    </w:p>
    <w:p>
      <w:r>
        <w:rPr>
          <w:color w:val="555555"/>
          <w:sz w:val="18"/>
        </w:rPr>
        <w:t xml:space="preserve">Unterlassungsklagengesetz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Das Bundesministerium der Justiz wird ermächtigt, durch Rechtsverordnung ohne Zustimmung des Bundesrates die Einzelheiten zu regeln zu</w:t>
      </w:r>
    </w:p>
    <w:p>
      <w:pPr>
        <w:ind w:left="420"/>
      </w:pPr>
      <w:r>
        <w:t xml:space="preserve">1. der Eintragung von eingetragenen Vereinen in die Liste der qualifizierten Verbraucherverbände nach § 4, insbesondere zu den in dem Verfahren bestehenden Mitwirkungs- und Nachweispflichten,</w:t>
      </w:r>
    </w:p>
    <w:p>
      <w:pPr>
        <w:ind w:left="420"/>
      </w:pPr>
      <w:r>
        <w:t xml:space="preserve">2. der Überprüfung und Aufhebung von Eintragungen eines qualifizierten Verbraucherverbands in der Liste der qualifizierten Verbraucherverbände nach § 4, insbesondere zu den in diesem Verfahren bestehenden Mitwirkungs- und Nachweispflichten,</w:t>
      </w:r>
    </w:p>
    <w:p>
      <w:pPr>
        <w:ind w:left="420"/>
      </w:pPr>
      <w:r>
        <w:t xml:space="preserve">3. den Berichtspflichten der qualifizierten Verbraucherverbände nach § 4b Absatz 1 und</w:t>
      </w:r>
    </w:p>
    <w:p>
      <w:pPr>
        <w:ind w:left="420"/>
      </w:pPr>
      <w:r>
        <w:t xml:space="preserve">4. der Eintragung von juristischen Personen in die Liste der qualifizierten Einrichtungen für grenzüberschreitende Verbandsklagen nach § 4d, insbesondere zu den in diesem Verfahren bestehenden Mitwirkungs- und Nachweispflichten sowie</w:t>
      </w:r>
    </w:p>
    <w:p>
      <w:pPr>
        <w:ind w:left="420"/>
      </w:pPr>
      <w:r>
        <w:t xml:space="preserve">5. der Überprüfung und Aufhebung von Eintragungen einer qualifizierten Einrichtung in der Liste, insbesondere zu den in diesem Verfahren bestehenden Mitwirkungs- und Nachweispflichten.</w:t>
      </w:r>
    </w:p>
    <w:p>
      <w:r>
        <w:rPr>
          <w:color w:val="555555"/>
          <w:sz w:val="17"/>
        </w:rPr>
        <w:t xml:space="preserve">Zitiervorschlag: § 4f UKlaG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https://recht.nulegal.eu/gesetze/UKlaG/4f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