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2b UKlaG — Unterlassungsanspruch nach dem Urheberrechtsgesetz</w:t>
      </w:r>
    </w:p>
    <w:p>
      <w:r>
        <w:rPr>
          <w:color w:val="555555"/>
          <w:sz w:val="18"/>
        </w:rPr>
        <w:t xml:space="preserve">Unterlassungsklagengesetz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Wer gegen § 95b Absatz 1 Satz 1 des Urheberrechtsgesetzes verstößt, kann auf Unterlassung in Anspruch genommen werden.</w:t>
      </w:r>
    </w:p>
    <w:p>
      <w:r>
        <w:rPr>
          <w:color w:val="555555"/>
          <w:sz w:val="17"/>
        </w:rPr>
        <w:t xml:space="preserve">Zitiervorschlag: § 2b UKlaG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https://recht.nulegal.eu/gesetze/UKlaG/2b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