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UKlaG — Ansprüche bei verbraucherschutzgesetzwidrigen Praktiken</w:t>
      </w:r>
    </w:p>
    <w:p>
      <w:r>
        <w:rPr>
          <w:color w:val="555555"/>
          <w:sz w:val="18"/>
        </w:rPr>
        <w:t xml:space="preserve">Unterlassungsklagengesetz</w:t>
      </w:r>
    </w:p>
    <w:p>
      <w:r>
        <w:rPr>
          <w:color w:val="555555"/>
          <w:sz w:val="18"/>
        </w:rPr>
        <w:t xml:space="preserve">Stand: 12.12.2025 (konsolidierte Textfassung, kein amtliches Inkrafttretensdatum)</w:t>
      </w:r>
    </w:p>
    <w:p>
      <w:r>
        <w:t xml:space="preserve">(1) Wer in anderer Weise als durch Verwendung oder Empfehlung von Allgemeinen Geschäftsbedingungen Vorschriften zuwiderhandelt, die dem Schutz der Verbraucher dienen (Verbraucherschutzgesetze), kann im Interesse des Verbraucherschutzes auf Unterlassung und Beseitigung in Anspruch genommen werden. Werden die Zuwiderhandlungen in einem Unternehmen von einem Mitarbeiter oder Beauftragten begangen, so ist der Unterlassungsanspruch oder der Beseitigungsanspruch auch gegen den Inhaber des Unternehmens begründet. Bei Zuwiderhandlungen gegen die in Absatz 2 Nummer 13 genannten Vorschriften richtet sich der Beseitigungsanspruch nach den entsprechenden datenschutzrechtlichen Vorschriften.</w:t>
      </w:r>
    </w:p>
    <w:p>
      <w:r>
        <w:t xml:space="preserve">(2) Verbraucherschutzgesetze im Sinne dieser Vorschrift sind insbesondere</w:t>
      </w:r>
    </w:p>
    <w:p>
      <w:pPr>
        <w:ind w:left="420"/>
      </w:pPr>
      <w:r>
        <w:t xml:space="preserve">1. die Vorschriften des Bürgerlichen Rechts, die für folgende Verträge zwischen Unternehmern und Verbrauchern gelten:</w:t>
      </w:r>
    </w:p>
    <w:p>
      <w:pPr>
        <w:ind w:left="780"/>
      </w:pPr>
      <w:r>
        <w:t xml:space="preserve">a) außerhalb von Geschäftsräumen geschlossene Verträge,</w:t>
      </w:r>
    </w:p>
    <w:p>
      <w:pPr>
        <w:ind w:left="780"/>
      </w:pPr>
      <w:r>
        <w:t xml:space="preserve">b) Fernabsatzverträge,</w:t>
      </w:r>
    </w:p>
    <w:p>
      <w:pPr>
        <w:ind w:left="780"/>
      </w:pPr>
      <w:r>
        <w:t xml:space="preserve">c) Verträge im elektronischen Geschäftsverkehr,</w:t>
      </w:r>
    </w:p>
    <w:p>
      <w:pPr>
        <w:ind w:left="780"/>
      </w:pPr>
      <w:r>
        <w:t xml:space="preserve">d) Verbraucherverträge über digitale Produkte,</w:t>
      </w:r>
    </w:p>
    <w:p>
      <w:pPr>
        <w:ind w:left="780"/>
      </w:pPr>
      <w:r>
        <w:t xml:space="preserve">e) Kaufverträge,</w:t>
      </w:r>
    </w:p>
    <w:p>
      <w:pPr>
        <w:ind w:left="780"/>
      </w:pPr>
      <w:r>
        <w:t xml:space="preserve">f) Teilzeit-Wohnrechteverträge, Verträge über langfristige Urlaubsprodukte sowie Vermittlungsverträge und Tauschsystemverträge,</w:t>
      </w:r>
    </w:p>
    <w:p>
      <w:pPr>
        <w:ind w:left="780"/>
      </w:pPr>
      <w:r>
        <w:t xml:space="preserve">g) Verbraucherdarlehensverträge, Finanzierungshilfen und Ratenlieferungsverträge,</w:t>
      </w:r>
    </w:p>
    <w:p>
      <w:pPr>
        <w:ind w:left="780"/>
      </w:pPr>
      <w:r>
        <w:t xml:space="preserve">h) Bauverträge,</w:t>
      </w:r>
    </w:p>
    <w:p>
      <w:pPr>
        <w:ind w:left="780"/>
      </w:pPr>
      <w:r>
        <w:t xml:space="preserve">i) Pauschalreiseverträge, Verträge über die Vermittlung von Reisen und verbundener Reiseleistungen,</w:t>
      </w:r>
    </w:p>
    <w:p>
      <w:pPr>
        <w:ind w:left="780"/>
      </w:pPr>
      <w:r>
        <w:t xml:space="preserve">j) Darlehensvermittlungsverträge sowie</w:t>
      </w:r>
    </w:p>
    <w:p>
      <w:pPr>
        <w:ind w:left="780"/>
      </w:pPr>
      <w:r>
        <w:t xml:space="preserve">k) Zahlungsdiensteverträge,</w:t>
      </w:r>
    </w:p>
    <w:p>
      <w:pPr>
        <w:ind w:left="420"/>
      </w:pPr>
      <w:r>
        <w:t xml:space="preserve">2. die Vorschriften des Fernunterrichtsschutzgesetzes,</w:t>
      </w:r>
    </w:p>
    <w:p>
      <w:pPr>
        <w:ind w:left="420"/>
      </w:pPr>
      <w:r>
        <w:t xml:space="preserve">3. diejenigen Vorschriften des Digitale-Dienste-Gesetzes, die das Verhältnis zwischen Anbietern von elektronischen Informations- und Kommunikationsdiensten und Verbrauchern regeln, die §§ 8, 9, 70, 74 und 98 des Medienstaatsvertrags vom 14. bis 28. April 2020, die §§ 4, 5, 5a, 5b und 6 des Jugendmedienschutz-Staatsvertrags vom 10. bis 27. September 2002 und die §§ 10 und 11 des Deutsche-Welle-Gesetzes,</w:t>
      </w:r>
    </w:p>
    <w:p>
      <w:pPr>
        <w:ind w:left="420"/>
      </w:pPr>
      <w:r>
        <w:t xml:space="preserve">4. diejenigen Vorschriften des Telekommunikation-Digitale-Dienste-Datenschutz-Gesetzes, die das Verhältnis zwischen Unternehmern und Verbrauchern regeln,</w:t>
      </w:r>
    </w:p>
    <w:p>
      <w:pPr>
        <w:ind w:left="420"/>
      </w:pPr>
      <w:r>
        <w:t xml:space="preserve">5. die Vorschriften des Arzneimittelgesetzes, die das Verhältnis zwischen Unternehmern und Verbrauchern regeln,</w:t>
      </w:r>
    </w:p>
    <w:p>
      <w:pPr>
        <w:ind w:left="420"/>
      </w:pPr>
      <w:r>
        <w:t xml:space="preserve">6. die §§ 3 bis 13 des Heilmittelwerbegesetzes,</w:t>
      </w:r>
    </w:p>
    <w:p>
      <w:pPr>
        <w:ind w:left="420"/>
      </w:pPr>
      <w:r>
        <w:t xml:space="preserve">7. diejenigen Vorschriften des Kapitalanlagegesetzbuchs, die das Verhältnis zwischen Kapitalverwaltungsgesellschaften und Verbrauchern regeln,</w:t>
      </w:r>
    </w:p>
    <w:p>
      <w:pPr>
        <w:ind w:left="420"/>
      </w:pPr>
      <w:r>
        <w:t xml:space="preserve">8. diejenigen Vorschriften des Abschnitts 11 des Wertpapierhandelsgesetzes, die das Verhältnis zwischen Wertpapierdienstleistungsunternehmen und Verbrauchern regeln,</w:t>
      </w:r>
    </w:p>
    <w:p>
      <w:pPr>
        <w:ind w:left="420"/>
      </w:pPr>
      <w:r>
        <w:t xml:space="preserve">9. die Vorschriften des Rechtsdienstleistungsgesetzes,</w:t>
      </w:r>
    </w:p>
    <w:p>
      <w:pPr>
        <w:ind w:left="420"/>
      </w:pPr>
      <w:r>
        <w:t xml:space="preserve">10. § 79 Absatz 2 und 3 sowie § 80 des Erneuerbare-Energien-Gesetzes,</w:t>
      </w:r>
    </w:p>
    <w:p>
      <w:pPr>
        <w:ind w:left="420"/>
      </w:pPr>
      <w:r>
        <w:t xml:space="preserve">11. die Vorschriften des Wohn- und Betreuungsvertragsgesetzes,</w:t>
      </w:r>
    </w:p>
    <w:p>
      <w:pPr>
        <w:ind w:left="420"/>
      </w:pPr>
      <w:r>
        <w:t xml:space="preserve">12. § 2 Absatz 2 sowie die §§ 36 und 37 des Verbraucherstreitbeilegungsgesetzes,</w:t>
      </w:r>
    </w:p>
    <w:p>
      <w:pPr>
        <w:ind w:left="420"/>
      </w:pPr>
      <w:r>
        <w:t xml:space="preserve">13. die Vorschriften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074 vom 4.3.2021, S. 35) in der jeweils geltenden Fassung, die für die Verarbeitung von Daten von Verbrauchern durch Unternehmer gelten,</w:t>
      </w:r>
    </w:p>
    <w:p>
      <w:pPr>
        <w:ind w:left="420"/>
      </w:pPr>
      <w:r>
        <w:t xml:space="preserve">14. § 31 des Bundesdatenschutzgesetzes,</w:t>
      </w:r>
    </w:p>
    <w:p>
      <w:pPr>
        <w:ind w:left="420"/>
      </w:pPr>
      <w:r>
        <w:t xml:space="preserve">15. diejenigen Vorschriften des Zahlungskontengesetzes, die das Verhältnis zwischen Zahlungsdienstleistern und Verbrauchern regeln,</w:t>
      </w:r>
    </w:p>
    <w:p>
      <w:pPr>
        <w:ind w:left="420"/>
      </w:pPr>
      <w:r>
        <w:t xml:space="preserve">16. diejenigen Vorschriften des Telekommunikationsgesetzes, die das Verhältnis zwischen Anbietern von öffentlich zugänglichen Telekommunikationsleistungen und Verbrauchern regeln,</w:t>
      </w:r>
    </w:p>
    <w:p>
      <w:pPr>
        <w:ind w:left="420"/>
      </w:pPr>
      <w:r>
        <w:t xml:space="preserve">17. die Vorschriften des Produkthaftungsgesetzes,</w:t>
      </w:r>
    </w:p>
    <w:p>
      <w:pPr>
        <w:ind w:left="420"/>
      </w:pPr>
      <w:r>
        <w:t xml:space="preserve">18. die Vorschriften der Verordnung (EG) Nr. 2027/97 des Rates vom 9. Oktober 1997 über die Haftung bei der Beförderung von Fluggästen und deren Gepäck im Luftverkehr (ABl. L 285 vom 17.10.1997, S. 1), die zuletzt durch die Verordnung (EG) Nr. 889/2002 (ABl. L 140 vom 30.5.2002, S. 2), geändert worden ist, in der jeweils geltenden Fassung,</w:t>
      </w:r>
    </w:p>
    <w:p>
      <w:pPr>
        <w:ind w:left="420"/>
      </w:pPr>
      <w:r>
        <w:t xml:space="preserve">19. die Vorschriften der Preisangabenverordnung,</w:t>
      </w:r>
    </w:p>
    <w:p>
      <w:pPr>
        <w:ind w:left="420"/>
      </w:pPr>
      <w:r>
        <w:t xml:space="preserve">20. die §§ 3 bis 7 des Produktsicherheitsgesetzes, § 7 des Gasgerätedurchführungsgesetzes, § 7 des PSA-Durchführungsgesetzes und die Vorschriften der Verordnung über elektrische Betriebsmittel, der Verordnung über die Sicherheit von Spielzeug, der Verordnung über einfache Druckbehälter, der Maschinenverordnung, der Verordnung über Sportboote und Wassermotorräder, der Explosionsschutzverordnung, der Aufzugsverordnung, der Aerosolpackungsverordnung sowie der Druckgeräteverordnung, soweit diese Pflichten von Unternehmern zum Schutz der Verbraucher regeln,</w:t>
      </w:r>
    </w:p>
    <w:p>
      <w:pPr>
        <w:ind w:left="420"/>
      </w:pPr>
      <w:r>
        <w:t xml:space="preserve">21. die Vorschriften der Verordnung (EG) Nr. 178/2002 des Europäischen Parlaments und des Rates vom 28. Januar 2002 zur Festlegung der allgemeinen Grundsätze und Anforderungen des Lebensmittelrechts, zur Errichtung der Europäischen Behörde für Lebensmittelsicherheit und zur Festlegung von Verfahren zur Lebensmittelsicherheit (ABl. L 31 vom 1.2.2002, S. 1), die zuletzt durch die Verordnung (EU) 2019/1381 (ABl. L 231 vom 6.9.2019, S. 1) geändert worden ist, in der jeweils geltenden Fassung, soweit sie das Verhältnis zwischen Unternehmern und Verbrauchern regeln,</w:t>
      </w:r>
    </w:p>
    <w:p>
      <w:pPr>
        <w:ind w:left="420"/>
      </w:pPr>
      <w:r>
        <w:t xml:space="preserve">22. die Vorschriften der Verordnung (EG) Nr. 261/2004 des Europäischen Parlaments und des Rates vom 11. Februar 2004 über die gemeinsame Regelung für Ausgleichs und Unterstützungsleistungen für Fluggäste im Fall der Nichtbeförderung und bei Annullierung oder großer Verspätung von Flügen und zur Aufhebung der Verordnung (EWG) Nr. 295/91 (ABl. L 46 vom 17.2.2004, S. 1; L 119 vom 7.5.2019, S. 202) in der jeweils geltenden Fassung,</w:t>
      </w:r>
    </w:p>
    <w:p>
      <w:pPr>
        <w:ind w:left="420"/>
      </w:pPr>
      <w:r>
        <w:t xml:space="preserve">23. die Vorschriften der Verordnung (EG) Nr. 1107/2006 des Europäischen Parlaments und des Rates vom 5. Juli 2006 über die Rechte von behinderten Flugreisenden und Flugreisenden mit eingeschränkter Mobilität (ABl. L 204 vom 26.7.2006, S. 1; L 26 vom 26.1.2013, S. 34), in der jeweils geltenden Fassung,</w:t>
      </w:r>
    </w:p>
    <w:p>
      <w:pPr>
        <w:ind w:left="420"/>
      </w:pPr>
      <w:r>
        <w:t xml:space="preserve">24. die Vorschriften der Verordnung (EU) 2021/782 des Europäischen Parlaments und des Rates vom 29. April 2021 über die Rechte und Pflichten der Fahrgäste im Eisenbahnverkehr (ABl. L 172 vom 17.5.2021, S. 1), in der jeweils geltenden Fassung,</w:t>
      </w:r>
    </w:p>
    <w:p>
      <w:pPr>
        <w:ind w:left="420"/>
      </w:pPr>
      <w:r>
        <w:t xml:space="preserve">25. Artikel 23 der Verordnung (EG) Nr. 1008/2008 des Europäischen Parlaments und des Rates vom 24. September 2008 über gemeinsame Vorschriften für die Durchführung von Luftverkehrsdiensten in der Gemeinschaft (ABl. L 293 vom 31.10.2008, S. 3), die zuletzt durch die Delegierte Verordnung (EU) 2020/2115 (ABl. L 426 vom 17.12.2020, S. 4) geändert worden ist, in der jeweils geltenden Fassung,</w:t>
      </w:r>
    </w:p>
    <w:p>
      <w:pPr>
        <w:ind w:left="420"/>
      </w:pPr>
      <w:r>
        <w:t xml:space="preserve">26. die Artikel 1 bis 35 der Verordnung (EG) Nr. 1272/2008 des Europäischen Parlaments und des Rates vom 16. Dezember 2008 über die Einstufung, Kennzeichnung und Verpackung von Stoffen und Gemischen, zur Änderung und Aufhebung der Richtlinien 67/548/EWG und 1999/45/EG und zur Änderung der Verordnung (EG) Nr. 1907/2006 (ABl. L 353 vom 31.12.2008, S. 1; L 16 vom 20.1.2011, S. 1; L 94 vom 10.4.2015, S. 9; L 349 vom 21.12.2016, S. 1; L 190 vom 27.7.2018, S. 20; L 55 vom 25.2.2019, S. 18; L 117 vom 3.5.2019, S. 8), die zuletzt durch die Delegierte Verordnung (EU) 2021/1962 (ABl. L 400 vom 12.11.2021, S. 16) geändert worden ist, in der jeweils geltenden Fassung,</w:t>
      </w:r>
    </w:p>
    <w:p>
      <w:pPr>
        <w:ind w:left="420"/>
      </w:pPr>
      <w:r>
        <w:t xml:space="preserve">27. die §§ 20a, 36, 40 bis 41, 41b, 42, 53a und 111a des Energiewirtschaftsgesetzes,</w:t>
      </w:r>
    </w:p>
    <w:p>
      <w:pPr>
        <w:ind w:left="420"/>
      </w:pPr>
      <w:r>
        <w:t xml:space="preserve">28. die Vorschriften des Zahlungsdiensteaufsichtsgesetzes, die das Verhältnis zwischen E-Geldinstituten und Verbrauchern regeln,</w:t>
      </w:r>
    </w:p>
    <w:p>
      <w:pPr>
        <w:ind w:left="420"/>
      </w:pPr>
      <w:r>
        <w:t xml:space="preserve">29. die §§ 4 und 5 des Energieverbrauchsrelevante-Produkte-Gesetzes,</w:t>
      </w:r>
    </w:p>
    <w:p>
      <w:pPr>
        <w:ind w:left="420"/>
      </w:pPr>
      <w:r>
        <w:t xml:space="preserve">30. die §§ 1a, 6a, 7 bis 9, 59 Absatz 1 Satz 2 und 3 und Absatz 4 Satz 2, die §§ 152, 154 und 155, auch in Verbindung mit den §§ 176 und 177 Absatz 1 des Versicherungsvertragsgesetzes,</w:t>
      </w:r>
    </w:p>
    <w:p>
      <w:pPr>
        <w:ind w:left="420"/>
      </w:pPr>
      <w:r>
        <w:t xml:space="preserve">31. die VVG-Informationspflichtenverordnung,</w:t>
      </w:r>
    </w:p>
    <w:p>
      <w:pPr>
        <w:ind w:left="420"/>
      </w:pPr>
      <w:r>
        <w:t xml:space="preserve">32. die Vorschriften der Verordnung (EG) Nr. 392/2009 des Europäischen Parlaments und des Rates vom 23. April 2009 über die Unfallhaftung von Beförderern von Reisenden auf See (ABl. L 131 vom 28.5.2009, S. 24), die zuletzt durch die Verordnung (EU) 2019/1243 (ABl. L 198 vom 25.7.2019, S. 241) geändert worden ist, in der jeweils geltenden Fassung,</w:t>
      </w:r>
    </w:p>
    <w:p>
      <w:pPr>
        <w:ind w:left="420"/>
      </w:pPr>
      <w:r>
        <w:t xml:space="preserve">33. die Vorschriften der Verordnung (EU) 2021/1230 des Europäischen Parlaments und des Rates vom 14. Juli 2021 über grenzüberschreitende Zahlungen in der Union (ABl. L 274 vom 30.7.2021, S. 20), in der jeweils geltenden Fassung,</w:t>
      </w:r>
    </w:p>
    <w:p>
      <w:pPr>
        <w:ind w:left="420"/>
      </w:pPr>
      <w:r>
        <w:t xml:space="preserve">34. die Artikel 4 bis 7 der Verordnung (EU) 2020/740 des Europäischen Parlaments und des Rates vom 25. Mai 2020 über die Kennzeichnung von Reifen in Bezug auf die Kraftstoffeffizienz und andere Parameter, zur Änderung der Verordnung (EU) 2017/1369 und zur Aufhebung der Verordnung (EG) Nr. 1222/2009 (ABl. L 177 vom 5.6.2020, S. 1; L 241 vom 27.7.2020, S. 46; L 147 vom 30.4.2021, S. 23; L 382 vom 28.10.2021, S. 52), in der jeweils geltenden Fassung,</w:t>
      </w:r>
    </w:p>
    <w:p>
      <w:pPr>
        <w:ind w:left="420"/>
      </w:pPr>
      <w:r>
        <w:t xml:space="preserve">35. die Artikel 3 bis 8 und die Artikel 19 bis 21 der Verordnung (EG) Nr. 1223/2009 des Europäischen Parlaments und des Rates vom 30. November 2009 über kosmetische Mittel (ABl. L 342 vom 22.12.2009, S. 59; L 318 vom 15.11.2012, S. 74; L 72 vom 15.3.2013, S. 16), die zuletzt durch die Verordnung (EU) 2022/135 (ABl. L 22 vom 1.2.2022, S. 2) geändert worden ist, in der jeweils geltenden Fassung,</w:t>
      </w:r>
    </w:p>
    <w:p>
      <w:pPr>
        <w:ind w:left="420"/>
      </w:pPr>
      <w:r>
        <w:t xml:space="preserve">36. die Artikel 9 und 10 der Verordnung (EG) Nr. 66/2010 des Europäischen Parlaments und des Rates vom 25. November 2009 über das EU-Umweltzeichen (ABl. L 27 vom 30.1.2010, S. 1), die zuletzt durch die Verordnung (EU) 2017/1941 (ABl. L 275 vom 25.10.2017, S. 9) geändert worden ist, in der jeweils geltenden Fassung,</w:t>
      </w:r>
    </w:p>
    <w:p>
      <w:pPr>
        <w:ind w:left="420"/>
      </w:pPr>
      <w:r>
        <w:t xml:space="preserve">37. die Vorschriften der Verordnung (EU) Nr. 1177/2010 des Europäischen Parlaments und des Rates vom 24. November 2010 über die Fahrgastrechte im See- und Binnenschiffsverkehr und zur Änderung der Verordnung (EG) Nr. 2006/2004 (ABl. L 334 vom 17.12.2010, S. 1), in der jeweils geltenden Fassung,</w:t>
      </w:r>
    </w:p>
    <w:p>
      <w:pPr>
        <w:ind w:left="420"/>
      </w:pPr>
      <w:r>
        <w:t xml:space="preserve">38. die Vorschriften der Verordnung (EU) Nr. 181/2011 des Europäischen Parlaments und des Rates vom 16. Februar 2011 über die Fahrgastrechte im Kraftomnibusverkehr und zur Änderung der Verordnung (EG) Nr. 2006/2004 (ABl. L 55 vom 28.2.2011, S. 1), in der jeweils geltenden Fassung,</w:t>
      </w:r>
    </w:p>
    <w:p>
      <w:pPr>
        <w:ind w:left="420"/>
      </w:pPr>
      <w:r>
        <w:t xml:space="preserve">39. die Vorschriften der Verordnung (EU) Nr. 1169/2011 des Europäischen Parlaments und des Rates vom 25. Oktober 2011 betreffend die Information der Verbraucher über Lebensmittel und zur Änderung der Verordnungen (EG) Nr. 1924/2006 und (EG) Nr. 1925/2006 des Europäischen Parlaments und des Rates und zur Aufhebung der Richtlinie 87/250/EWG der Kommission, der Richtlinie 90/496/EWG des Rates, der Richtlinie 1999/10/EG der Kommission, der Richtlinie 2000/13/EG des Europäischen Parlaments und des Rates, der Richtlinien 2002/67/EG und 2008/5/EG der Kommission und der Verordnung (EG) Nr. 608/2004 der Kommission (ABl. L 304 vom 22.11.2011, S. 18; L 331 vom 18.11.2014, S. 41; L 50 vom 21.2.2015, S. 48; L 266 vom 30.9.2016, S. 7), die zuletzt durch die Verordnung (EU) 2015/2283 (ABl. L 327 vom 11.12.2015, S. 1) geändert worden ist, in der jeweils geltenden Fassung,</w:t>
      </w:r>
    </w:p>
    <w:p>
      <w:pPr>
        <w:ind w:left="420"/>
      </w:pPr>
      <w:r>
        <w:t xml:space="preserve">40. die §§ 4 bis 11 der Verordnung über Heizkostenabrechnung, die §§ 3 bis 5 der Fernwärme- oder Fernkälte-Verbrauchserfassungs- und -Abrechnungsverordnung und die §§ 29 bis 32 des Messstellenbetriebsgesetzes,</w:t>
      </w:r>
    </w:p>
    <w:p>
      <w:pPr>
        <w:ind w:left="420"/>
      </w:pPr>
      <w:r>
        <w:t xml:space="preserve">41. die §§ 11 bis 18 der Gasgrundversorgungsverordnung,</w:t>
      </w:r>
    </w:p>
    <w:p>
      <w:pPr>
        <w:ind w:left="420"/>
      </w:pPr>
      <w:r>
        <w:t xml:space="preserve">42. die §§ 11 bis 18 der Stromgrundversorgungsverordnung,</w:t>
      </w:r>
    </w:p>
    <w:p>
      <w:pPr>
        <w:ind w:left="420"/>
      </w:pPr>
      <w:r>
        <w:t xml:space="preserve">43. die Vorschriften der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durch die Verordnung (EU) Nr. 248/2014 (ABl. L 84 vom 20.3.2014, S. 1) geändert worden ist, in der jeweils geltenden Fassung,</w:t>
      </w:r>
    </w:p>
    <w:p>
      <w:pPr>
        <w:ind w:left="420"/>
      </w:pPr>
      <w:r>
        <w:t xml:space="preserve">44. die Vorschriften der Verordnung (EU) Nr. 531/2012 des Europäischen Parlaments und des Rates vom 13. Juni 2012 über das Roaming in öffentlichen Mobilfunknetzen in der Union (ABl. L 172 vom 30.6.2012, S. 10), in der jeweils geltenden Fassung,</w:t>
      </w:r>
    </w:p>
    <w:p>
      <w:pPr>
        <w:ind w:left="420"/>
      </w:pPr>
      <w:r>
        <w:t xml:space="preserve">45. die Vorschriften des Mess- und Eichgesetzes sowie der Mess- und Eichverordnung, soweit sie das Verhältnis zwischen Unternehmern und Verbrauchern regeln,</w:t>
      </w:r>
    </w:p>
    <w:p>
      <w:pPr>
        <w:ind w:left="420"/>
      </w:pPr>
      <w:r>
        <w:t xml:space="preserve">46. die Vorschriften der Verordnung (EU) Nr. 1286/2014 des Europäischen Parlaments und des Rates vom 26. November 2014 über Basisinformationsblätter für verpackte Anlageprodukte für Kleinanleger und Versicherungsanlageprodukte (PRIIP) (ABl. L 352 vom 9.12.2014, S. 1; L 358 vom 13.12.2014, S. 50), die zuletzt durch die Verordnung (EU) 2021/2259 (ABl. L 455 vom 20.12.2021, S. 1) geändert worden ist, in der jeweils geltenden Fassung,</w:t>
      </w:r>
    </w:p>
    <w:p>
      <w:pPr>
        <w:ind w:left="420"/>
      </w:pPr>
      <w:r>
        <w:t xml:space="preserve">47. die Vorschriften der Verordnung (EU) 2015/760 des Europäischen Parlaments und des Rates vom 29. April 2015 über europäische langfristige Investmentfonds (ABl. L 123 vom 19.5.2015, S. 98), die durch die Delegierte Verordnung (EU) 2018/480 (ABl. L 81 vom 23.3.2018, S. 1) geändert worden ist, in der jeweils geltenden Fassung,</w:t>
      </w:r>
    </w:p>
    <w:p>
      <w:pPr>
        <w:ind w:left="420"/>
      </w:pPr>
      <w:r>
        <w:t xml:space="preserve">48. die Vorschriften der Verordnung (EU) 2015/2120 des Europäischen Parlaments und des Rates vom 25. November 2015 über Maßnahmen zum Zugang zum offenen Internet und zur Änderung der Richtlinie 2002/22/EG über den Universaldienst und Nutzerrechte bei elektronischen Kommunikationsnetzen und -diensten sowie der Verordnung (EU) Nr. 531/2012 über das Roaming in öffentlichen Mobilfunknetzen in der Union (ABl. L 310 vom 26.11.2015, S. 1), die zuletzt durch die Verordnung (EU) 2018/1971 (ABl. L 321 vom 17.12.2018, S. 1) geändert worden ist, in der jeweils geltenden Fassung,</w:t>
      </w:r>
    </w:p>
    <w:p>
      <w:pPr>
        <w:ind w:left="420"/>
      </w:pPr>
      <w:r>
        <w:t xml:space="preserve">49. die Vorschriften des Kapitels II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L 241 vom 8.7.2021, S. 7), die zuletzt durch die Verordnung (EU) 2020/561 (ABl. L 130 vom 24.4.2020, S. 18) geändert worden ist, in der jeweils geltenden Fassung,</w:t>
      </w:r>
    </w:p>
    <w:p>
      <w:pPr>
        <w:ind w:left="420"/>
      </w:pPr>
      <w:r>
        <w:t xml:space="preserve">50. die Vorschriften des Kapitels II der Verordnung (EU) 2017/746 des Europäischen Parlaments und des Rates vom 5. April 2017 über In-vitro-Diagnostika und zur Aufhebung der Richtlinie 98/79/EG und des Beschlusses 2010/227/EU der Kommission (ABl. L 117 vom 5.5.2017, S. 176; L 117 vom 3.5.2019, S. 11; L 334 vom 27.12.2019, S. 167; L 233 vom 1.7.2021, S. 9), die zuletzt durch die Verordnung (EU) 2022/112 (ABl. L 19 vom 28.1.2022, S. 3) geändert worden ist, in der jeweils geltenden Fassung,</w:t>
      </w:r>
    </w:p>
    <w:p>
      <w:pPr>
        <w:ind w:left="420"/>
      </w:pPr>
      <w:r>
        <w:t xml:space="preserve">51. die Vorschriften der Verordnung (EU) 2017/1128 des Europäischen Parlaments und des Rates vom 14. Juni 2017 zur grenzüberschreitenden Portabilität von Online-Inhaltediensten im Binnenmarkt (ABl. L 168 vom 30.6.2017, S. 1; L 198 vom 28.7.2017, S. 42), in der jeweils geltenden Fassung,</w:t>
      </w:r>
    </w:p>
    <w:p>
      <w:pPr>
        <w:ind w:left="420"/>
      </w:pPr>
      <w:r>
        <w:t xml:space="preserve">52. die Vorschriften der Verordnung (EU) 2017/1129 des Europäischen Parlaments und des Rates vom 14. Juni 2017 über den Prospekt, der beim öffentlichen Angebot von Wertpapieren oder bei deren Zulassung zum Handel an einem geregelten Markt zu veröffentlichen ist, und zur Aufhebung der Richtlinie 2003/71/EG (ABl. L 168 vom 30.6.2017, S. 12), die zuletzt durch die Delegierte Verordnung (EU) 2021/528 (ABl. L 106 vom 26.3.2021, S. 32) geändert worden ist, in der jeweils geltenden Fassung,</w:t>
      </w:r>
    </w:p>
    <w:p>
      <w:pPr>
        <w:ind w:left="420"/>
      </w:pPr>
      <w:r>
        <w:t xml:space="preserve">53. die Vorschriften der Verordnung (EU) 2017/1131 des Europäischen Parlaments und des Rates vom 14. Juni 2017 über Geldmarktfonds (ABl. L 169 vom 30.6.2017, S. 8), die zuletzt durch die Delegierte Verordnung (EU) 2018/990 (ABl. L 177 vom 13.7.2018, S. 1) geändert worden ist, in der jeweils geltenden Fassung,</w:t>
      </w:r>
    </w:p>
    <w:p>
      <w:pPr>
        <w:ind w:left="420"/>
      </w:pPr>
      <w:r>
        <w:t xml:space="preserve">54. die Artikel 3 bis 6 der Verordnung (EU) 2017/1369 des Europäischen Parlaments und des Rates vom 4. Juli 2017 zur Festlegung eines Rahmens für die Energieverbrauchskennzeichnung und zur Aufhebung der Richtlinie 2010/30/EU (ABl. L 198 vom 28.7.2017, S. 1), die zuletzt durch die Verordnung (EU) 2020/740 (ABl. L 177 vom 5.6.2020, S. 1) geändert worden ist, in der jeweils geltenden Fassung,</w:t>
      </w:r>
    </w:p>
    <w:p>
      <w:pPr>
        <w:ind w:left="420"/>
      </w:pPr>
      <w:r>
        <w:t xml:space="preserve">55. die Artikel 3 bis 5 der Verordnung (EU) 2018/302 des Europäischen Parlaments und des Rates vom 28. Februar 2018 über Maßnahmen gegen ungerechtfertigtes Geoblocking und andere Formen der Diskriminierung aufgrund der Staatsangehörigkeit, des Wohnsitzes oder des Ortes der Niederlassung des Kunden innerhalb des Binnenmarkts und zur Änderung der Verordnungen (EG) Nr. 2006/2004 und (EU) 2017/2394 sowie der Richtlinie 2009/22/EG (ABl. L 60 I vom 2.3.2018, S. 1; L 66 vom 8.3.2018, S. 1), in der jeweils geltenden Fassung,</w:t>
      </w:r>
    </w:p>
    <w:p>
      <w:pPr>
        <w:ind w:left="420"/>
      </w:pPr>
      <w:r>
        <w:t xml:space="preserve">56. die Vorschriften der Verordnung (EU) 2022/1925 des Europäischen Parlaments und des Rates vom 14. September 2022 über bestreitbare und faire Märkte im digitalen Sektor und zur Änderung der Richtlinien (EU) 2019/1937 und (EU) 2020/1828 (Gesetz über digitale Märkte) (ABl. L 265 vom 12.10.2022, S. 1), in der jeweils geltenden Fassung und</w:t>
      </w:r>
    </w:p>
    <w:p>
      <w:pPr>
        <w:ind w:left="420"/>
      </w:pPr>
      <w:r>
        <w:t xml:space="preserve">57. die Vorschriften der Verordnung (EU) 2022/2065 des Europäischen Parlaments und des Rates vom 19. Oktober 2022 über einen Binnenmarkt für digitale Dienste und zur Änderung der Richtlinie 2000/31/EG (Gesetz über digitale Dienste) (ABl. L 277 vom 27.10.2022, S. 1), in der jeweils geltenden Fassung.</w:t>
      </w:r>
    </w:p>
    <w:p>
      <w:r>
        <w:t xml:space="preserve">(3) (weggefallen)</w:t>
      </w:r>
    </w:p>
    <w:p>
      <w:r>
        <w:rPr>
          <w:color w:val="555555"/>
          <w:sz w:val="17"/>
        </w:rPr>
        <w:t xml:space="preserve">Zitiervorschlag: § 2 UKlaG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https://recht.nulegal.eu/gesetze/UKlaG/2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