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UKlaG — Überleitungsvorschrift zum Gesetz zur Umsetzung der Richtlinie (EU) 2020/1820 über Verbandsklagen zum Schutz der Kollektivinteressen der Verbraucher und zur Aufhebung der Richtlinie 2009/22/EG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Die Liste der qualifizierten Einrichtungen nach § 4 wird in "Liste der qualifizierten Verbraucherverbände nach § 4" umbenannt. Die in dieser Liste eingetragenen qualifizierten Einrichtungen werden zu qualifizierten Verbraucherverbänden.</w:t>
      </w:r>
    </w:p>
    <w:p>
      <w:r>
        <w:t xml:space="preserve">(2) § 6a ist nur auf Anträge auf Erlass einstweiliger Verfügungen und auf Klagen anzuwenden, die Zuwiderhandlungen betreffen, die nach dem 24. Juni 2023 drohen oder stattfanden.</w:t>
      </w:r>
    </w:p>
    <w:p>
      <w:r>
        <w:rPr>
          <w:color w:val="555555"/>
          <w:sz w:val="17"/>
        </w:rPr>
        <w:t xml:space="preserve">Zitiervorschlag: § 18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UKlaG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