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UKlaG — Überleitungsvorschriften zu dem Gesetz zur Stärkung des fairen Wettbewerbs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02.12.2020 (konsolidierte Textfassung, kein amtliches Inkrafttretensdatum)</w:t>
      </w:r>
    </w:p>
    <w:p>
      <w:r>
        <w:t xml:space="preserve">(1) Abweichend von § 4a Absatz 1 Nummer 1 sind die Eintragungsvoraussetzungen bei qualifizierten Einrichtungen, die vor dem 2. Dezember 2020 in die Liste nach § 4 eingetragen wurden und die am 2. Dezember 2020 schon länger als zwei Jahre in der Liste nach § 4 eingetragen sind, vom Bundesamt für Justiz im Zeitraum vom 2. Dezember 2020 bis zum 31. Dezember 2021 zu überprüfen.</w:t>
      </w:r>
    </w:p>
    <w:p>
      <w:r>
        <w:t xml:space="preserve">(2) Die Berichtspflichten nach § 4b Absatz 1 sind erstmals für das Kalenderjahr 2021 zu erfüllen.</w:t>
      </w:r>
    </w:p>
    <w:p>
      <w:r>
        <w:rPr>
          <w:color w:val="555555"/>
          <w:sz w:val="17"/>
        </w:rPr>
        <w:t xml:space="preserve">Zitiervorschlag: § 17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