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UKlaG — Bußgeldvorschriften</w:t>
      </w:r>
    </w:p>
    <w:p>
      <w:r>
        <w:rPr>
          <w:color w:val="555555"/>
          <w:sz w:val="18"/>
        </w:rPr>
        <w:t xml:space="preserve">Unterlassungsklagengesetz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4b Absatz 1 Satz 1, auch in Verbindung mit einer Rechtsverordnung nach § 4f Nummer 3, einen dort genannten Bericht nicht, nicht richtig, nicht vollständig oder nicht rechtzeitig erstattet,</w:t>
      </w:r>
    </w:p>
    <w:p>
      <w:pPr>
        <w:ind w:left="420"/>
      </w:pPr>
      <w:r>
        <w:t xml:space="preserve">2. einer Rechtsverordnung nach § 4f Nummer 1 oder 2 oder einer vollziehbaren Anordnung auf 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3. entgegen § 5a Absatz 1 Satz 2 eine Tatsache nicht, nicht richtig, nicht vollständig oder nicht rechtzeitig veröffentlicht,</w:t>
      </w:r>
    </w:p>
    <w:p>
      <w:pPr>
        <w:ind w:left="420"/>
      </w:pPr>
      <w:r>
        <w:t xml:space="preserve">4. entgegen § 5a Absatz 2 einen Beschluss oder ein Urteil nicht oder nicht mindestens sechs Monate veröffentlicht oder</w:t>
      </w:r>
    </w:p>
    <w:p>
      <w:pPr>
        <w:ind w:left="420"/>
      </w:pPr>
      <w:r>
        <w:t xml:space="preserve">5. entgegen § 6a Absatz 1 Satz 3 die dort genannte Zustellung nicht oder nicht rechtzeitig bekannt macht.</w:t>
      </w:r>
    </w:p>
    <w:p>
      <w:r>
        <w:t xml:space="preserve">(2) Die Ordnungswidrigkeit kann mit einer Geldbuße bis zu hunderttausend Euro geahndet werden.</w:t>
      </w:r>
    </w:p>
    <w:p>
      <w:r>
        <w:t xml:space="preserve">(3) Verwaltungsbehörde im Sinne des § 36 Absatz 1 Nummer 1 des Gesetzes über Ordnungswidrigkeiten ist das Bundesamt für Justiz.</w:t>
      </w:r>
    </w:p>
    <w:p>
      <w:r>
        <w:rPr>
          <w:color w:val="555555"/>
          <w:sz w:val="17"/>
        </w:rPr>
        <w:t xml:space="preserve">Zitiervorschlag: § 16 UKlaG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https://recht.nulegal.eu/gesetze/UKlaG/16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UKlaG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