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UKlaG — Schlichtungsverfahren und Verordnungsermächtigung</w:t>
      </w:r>
    </w:p>
    <w:p>
      <w:r>
        <w:rPr>
          <w:color w:val="555555"/>
          <w:sz w:val="18"/>
        </w:rPr>
        <w:t xml:space="preserve">Unterlassungsklagengesetz</w:t>
      </w:r>
    </w:p>
    <w:p>
      <w:r>
        <w:rPr>
          <w:color w:val="555555"/>
          <w:sz w:val="18"/>
        </w:rPr>
        <w:t xml:space="preserve">Stand: 14.03.2026 (konsolidierte Textfassung, kein amtliches Inkrafttretensdatum)</w:t>
      </w:r>
    </w:p>
    <w:p>
      <w:r>
        <w:t xml:space="preserve">(1) Bei Streitigkeiten aus der Anwendung</w:t>
      </w:r>
    </w:p>
    <w:p>
      <w:pPr>
        <w:ind w:left="420"/>
      </w:pPr>
      <w:r>
        <w:t xml:space="preserve">1. der Vorschriften des Bürgerlichen Gesetzbuchs betreffend Fernabsatzverträge über Finanzdienstleistungen,</w:t>
      </w:r>
    </w:p>
    <w:p>
      <w:pPr>
        <w:ind w:left="420"/>
      </w:pPr>
      <w:r>
        <w:t xml:space="preserve">2. der §§ 491 bis 508, 511 und 655a bis 655d des Bürgerlichen Gesetzbuchs sowie Artikel 247a § 1 des Einführungsgesetzes zum Bürgerlichen Gesetzbuche,</w:t>
      </w:r>
    </w:p>
    <w:p>
      <w:pPr>
        <w:ind w:left="420"/>
      </w:pPr>
      <w:r>
        <w:t xml:space="preserve">3. der Vorschriften betreffend Zahlungsdiensteverträge in</w:t>
      </w:r>
    </w:p>
    <w:p>
      <w:pPr>
        <w:ind w:left="780"/>
      </w:pPr>
      <w:r>
        <w:t xml:space="preserve">a) den §§ 675c bis 676c des Bürgerlichen Gesetzbuchs,</w:t>
      </w:r>
    </w:p>
    <w:p>
      <w:pPr>
        <w:ind w:left="780"/>
      </w:pPr>
      <w:r>
        <w:t xml:space="preserve">b) die Verordnung (EU) 2021/1230 des Europäischen Parlaments und des Rates vom 14. Juli 2021 über grenzüberschreitende Zahlungen in der Union (kodifizierter Text) (ABl. L 274 vom 30.7.2021, S. 20)</w:t>
      </w:r>
    </w:p>
    <w:p>
      <w:pPr>
        <w:ind w:left="780"/>
      </w:pPr>
      <w:r>
        <w:t xml:space="preserve">c) der Verordnung (EU) Nr. 260/2012 des Europäischen Parlaments und des Rates vom 14. März 2012 zur Festlegung der technischen Vorschriften und der Geschäftsanforderungen für Überweisungen und Lastschriften in Euro und zur Änderung der Verordnung (EG) Nr. 924/2009 (ABl. L 94 vom 30.3.2012, S. 22), die zuletzt durch die Verordnung (EU) Nr. 2024/886 (ABl. L, 2024/886, 19.3.2024) geändert worden ist,</w:t>
      </w:r>
    </w:p>
    <w:p>
      <w:pPr>
        <w:ind w:left="780"/>
      </w:pPr>
      <w:r>
        <w:t xml:space="preserve">d) der Verordnung (EU) 2015/751 des Europäischen Parlaments und des Rates vom 29. April 2015 über Interbankenentgelte für kartengebundene Zahlungsvorgänge (ABl. L 123 vom 19.5.2015, S. 1),</w:t>
      </w:r>
    </w:p>
    <w:p>
      <w:pPr>
        <w:ind w:left="420"/>
      </w:pPr>
      <w:r>
        <w:t xml:space="preserve">4. der Vorschriften des Zahlungsdiensteaufsichtsgesetzes, soweit sie Pflichten von E-Geld-Emittenten oder Zahlungsdienstleistern gegenüber ihren Kunden begründen,</w:t>
      </w:r>
    </w:p>
    <w:p>
      <w:pPr>
        <w:ind w:left="420"/>
      </w:pPr>
      <w:r>
        <w:t xml:space="preserve">5. der Vorschriften des Zahlungskontengesetzes, die das Verhältnis zwischen einem Zahlungsdienstleister und einem Verbraucher regeln,</w:t>
      </w:r>
    </w:p>
    <w:p>
      <w:pPr>
        <w:ind w:left="420"/>
      </w:pPr>
      <w:r>
        <w:t xml:space="preserve">6. der Vorschriften des Kapitalanlagegesetzbuchs, wenn an der Streitigkeit Verbraucher beteiligt sind, oder</w:t>
      </w:r>
    </w:p>
    <w:p>
      <w:pPr>
        <w:ind w:left="420"/>
      </w:pPr>
      <w:r>
        <w:t xml:space="preserve">7. sonstiger Vorschriften im Zusammenhang mit Verträgen, die Bankgeschäfte nach § 1 Absatz 1 Satz 2 des Kreditwesengesetzes oder Finanzdienstleistungen nach § 1 Absatz 1a Satz 2 des Kreditwesengesetzes betreffen, zwischen Verbrauchern und nach dem Kreditwesengesetz beaufsichtigten Unternehmen</w:t>
      </w:r>
    </w:p>
    <w:p>
      <w:r>
        <w:t xml:space="preserve">können die Beteiligten unbeschadet ihres Rechts, die Gerichte anzurufen, eine vom Bundesamt für Justiz für diese Streitigkeiten anerkannte private Verbraucherschlichtungsstelle oder die bei der Deutschen Bundesbank oder die bei der Bundesanstalt für Finanzdienstleistungsaufsicht eingerichtete Verbraucherschlichtungsstelle anrufen. Die bei der Deutschen Bundesbank eingerichtete Verbraucherschlichtungsstelle ist für die Streitigkeiten nach Satz 1 Nummer 1 bis 5 zuständig; die bei der Bundesanstalt für Finanzdienstleistungsaufsicht eingerichtete Verbraucherschlichtungsstelle ist für die Streitigkeiten nach Satz 1 Nummer 6 und 7 zuständig. Diese behördlichen Verbraucherschlichtungsstellen sind nur zuständig, wenn es für die Streitigkeit keine zuständige anerkannte Verbraucherschlichtungsstelle gibt.</w:t>
      </w:r>
    </w:p>
    <w:p>
      <w:r>
        <w:t xml:space="preserve">(2) Jede Verbraucherschlichtungsstelle nach Absatz 1 muss mit mindestens zwei Schlichtern besetzt sein, die die Befähigung zum Richteramt haben. Die Schlichter müssen unabhängig sein und das Schlichtungsverfahren fair und unparteiisch führen. Sie sollen ihre Schlichtungsvorschläge am geltenden Recht ausrichten und sie sollen insbesondere die zwingenden Verbraucherschutzgesetze beachten. Für das Schlichtungsverfahren kann von einem Verbraucher kein Entgelt verlangt werden.</w:t>
      </w:r>
    </w:p>
    <w:p>
      <w:r>
        <w:t xml:space="preserve">(3) Das Bundesamt für Justiz erkennt auf Antrag eine Schlichtungsstelle als private Verbraucherschlichtungsstelle nach Absatz 1 Satz 1 an, wenn</w:t>
      </w:r>
    </w:p>
    <w:p>
      <w:pPr>
        <w:ind w:left="420"/>
      </w:pPr>
      <w:r>
        <w:t xml:space="preserve">1. der Träger der Schlichtungsstelle ein eingetragener Verein ist,</w:t>
      </w:r>
    </w:p>
    <w:p>
      <w:pPr>
        <w:ind w:left="420"/>
      </w:pPr>
      <w:r>
        <w:t xml:space="preserve">2. die Schlichtungsstelle für die Streitigkeiten nach Absatz 1 Satz 1 zuständig ist und</w:t>
      </w:r>
    </w:p>
    <w:p>
      <w:pPr>
        <w:ind w:left="420"/>
      </w:pPr>
      <w:r>
        <w:t xml:space="preserve">3. die Organisation, Finanzierung und Verfahrensordnung der Schlichtungsstelle den Anforderungen dieses Gesetzes und der Rechtsverordnung entspricht, die auf Grund dieses Gesetzes erlassen wurde.</w:t>
      </w:r>
    </w:p>
    <w:p>
      <w:r>
        <w:t xml:space="preserve">Die Verfahrensordnung einer anerkannten Schlichtungsstelle kann nur mit Zustimmung des Bundesamts für Justiz geändert werden.</w:t>
      </w:r>
    </w:p>
    <w:p>
      <w:r>
        <w:t xml:space="preserve">(4) Das Bundesamt für Justiz nimmt die Verbraucherschlichtungsstellen nach Absatz 1 in die Liste nach § 33 Absatz 1 des Verbraucherstreitbeilegungsgesetzes auf und macht die Anerkennung und den Widerruf oder die Rücknahme der Anerkennung im Bundesanzeiger bekannt.</w:t>
      </w:r>
    </w:p>
    <w:p>
      <w:r>
        <w:t xml:space="preserve">(5) Das Bundesministerium der Justiz und für Verbraucherschutz regelt im Einvernehmen mit dem Bundesministerium der Finanzen durch Rechtsverordnung, die nicht der Zustimmung des Bundesrates bedarf, entsprechend den Anforderungen der Richtlinie 2013/11/EU des Europäischen Parlaments und des Rates vom 21. Mai 2013 über die alternative Beilegung verbraucherrechtlicher Streitigkeiten und zur Änderung der Verordnung (EG) Nr. 2006/2004 und der Richtlinie 2009/22/EG (ABl. L 165 vom 18.6.2013, S. 63)</w:t>
      </w:r>
    </w:p>
    <w:p>
      <w:pPr>
        <w:ind w:left="420"/>
      </w:pPr>
      <w:r>
        <w:t xml:space="preserve">1. die näheren Einzelheiten der Organisation und des Verfahrens der bei der Deutschen Bundesbank und der bei der Bundesanstalt für Finanzdienstleistungsaufsicht nach diesem Gesetz eingerichteten Verbraucherschlichtungsstellen, insbesondere auch die Kosten des Schlichtungsverfahrens für einen am Schlichtungsverfahren beteiligten Unternehmer,</w:t>
      </w:r>
    </w:p>
    <w:p>
      <w:pPr>
        <w:ind w:left="420"/>
      </w:pPr>
      <w:r>
        <w:t xml:space="preserve">2. die Voraussetzungen und das Verfahren für die Anerkennung einer privaten Verbraucherschlichtungsstelle und für die Aufhebung dieser Anerkennung sowie die Voraussetzungen und das Verfahren für die Zustimmung zur Änderung der Verfahrensordnung,</w:t>
      </w:r>
    </w:p>
    <w:p>
      <w:pPr>
        <w:ind w:left="420"/>
      </w:pPr>
      <w:r>
        <w:t xml:space="preserve">3. die Zusammenarbeit der behördlichen Verbraucherschlichtungsstellen und der privaten Verbraucherschlichtungsstellen mit</w:t>
      </w:r>
    </w:p>
    <w:p>
      <w:pPr>
        <w:ind w:left="780"/>
      </w:pPr>
      <w:r>
        <w:t xml:space="preserve">a) staatlichen Stellen, insbesondere der Bundesanstalt für Finanzdienstleistungsaufsicht, und</w:t>
      </w:r>
    </w:p>
    <w:p>
      <w:pPr>
        <w:ind w:left="780"/>
      </w:pPr>
      <w:r>
        <w:t xml:space="preserve">b) vergleichbaren Stellen zur außergerichtlichen Streitbeilegung in anderen Vertragsstaaten des Abkommens über den Europäischen Wirtschaftsraum.</w:t>
      </w:r>
    </w:p>
    <w:p>
      <w:r>
        <w:rPr>
          <w:color w:val="555555"/>
          <w:sz w:val="17"/>
        </w:rPr>
        <w:t xml:space="preserve">Zitiervorschlag: § 14 UKlaG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https://recht.nulegal.eu/gesetze/UKlaG/14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UKlaG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