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UKlaG — Unterlassungs- und Widerrufsanspruch bei Allgemeinen Geschäftsbedingungen</w:t>
      </w:r>
    </w:p>
    <w:p>
      <w:r>
        <w:rPr>
          <w:color w:val="555555"/>
          <w:sz w:val="18"/>
        </w:rPr>
        <w:t xml:space="preserve">Unterlassungsklagengesetz</w:t>
      </w:r>
    </w:p>
    <w:p>
      <w:r>
        <w:rPr>
          <w:color w:val="555555"/>
          <w:sz w:val="18"/>
        </w:rPr>
        <w:t xml:space="preserve">Stand: 10.06.2019 (konsolidierte Textfassung, kein amtliches Inkrafttretensdatum)</w:t>
      </w:r>
    </w:p>
    <w:p>
      <w:r>
        <w:t xml:space="preserve">Wer in Allgemeinen Geschäftsbedingungen Bestimmungen, die nach den §§ 307 bis 309 des Bürgerlichen Gesetzbuchs unwirksam sind, verwendet oder für den rechtsgeschäftlichen Verkehr empfiehlt, kann auf Unterlassung und im Fall des Empfehlens auch auf Widerruf in Anspruch genommen werden.</w:t>
      </w:r>
    </w:p>
    <w:p>
      <w:r>
        <w:rPr>
          <w:color w:val="555555"/>
          <w:sz w:val="17"/>
        </w:rPr>
        <w:t xml:space="preserve">Zitiervorschlag: § 1 UKlaG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https://recht.nulegal.eu/gesetze/UKlaG/1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