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UKZuVO (Sachsen)</w:t>
      </w:r>
    </w:p>
    <w:p>
      <w:r>
        <w:rPr>
          <w:color w:val="555555"/>
          <w:sz w:val="18"/>
        </w:rPr>
        <w:t xml:space="preserve">Verordnung der Sächsischen Staatsregierung über Zuständigkeiten bei der Unabkömmlichstellung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Beisitzer für den Ausschuss bei der Wehrbereichsverwaltung wird vom Staatsministerium des Innern, die Beisitzer für die Ausschüsse bei den Kreiswehrersatzämtern werden von der Landesdirektion Sachsen benannt.</w:t>
      </w:r>
    </w:p>
    <w:p>
      <w:r>
        <w:rPr>
          <w:color w:val="555555"/>
          <w:sz w:val="17"/>
        </w:rPr>
        <w:t xml:space="preserve">Zitiervorschlag: § 2 UKZuVO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