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UKRatZustAnO — Inkrafttreten</w:t>
      </w:r>
    </w:p>
    <w:p>
      <w:r>
        <w:rPr>
          <w:color w:val="555555"/>
          <w:sz w:val="18"/>
        </w:rPr>
        <w:t xml:space="preserve">Anordnung des Unabhängigen Kontrollrates zur Übertragung von Zuständigkeiten in Angelegenheiten der Personalverwaltung auf das Bundesverwaltungsamt</w:t>
      </w:r>
    </w:p>
    <w:p>
      <w:r>
        <w:rPr>
          <w:color w:val="555555"/>
          <w:sz w:val="18"/>
        </w:rPr>
        <w:t xml:space="preserve">Stand: 01.11.2024 (konsolidierte Textfassung, kein amtliches Inkrafttretensdatum)</w:t>
      </w:r>
    </w:p>
    <w:p>
      <w:r>
        <w:t xml:space="preserve">Diese Anordnung tritt am Tag nach der Verkündung in Kraft.</w:t>
      </w:r>
    </w:p>
    <w:p>
      <w:r>
        <w:rPr>
          <w:color w:val="555555"/>
          <w:sz w:val="17"/>
        </w:rPr>
        <w:t xml:space="preserve">Zitiervorschlag: § 3 UKRatZustAnO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https://recht.nulegal.eu/gesetze/UKRatZustAnO/3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