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UKG (Sachsen) — Gewährträgerschaft und Rechtsaufsicht</w:t>
      </w:r>
    </w:p>
    <w:p>
      <w:r>
        <w:rPr>
          <w:color w:val="555555"/>
          <w:sz w:val="18"/>
        </w:rPr>
        <w:t xml:space="preserve">Universitätsklinika-Gesetz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Verbindlichkeiten des Universitätsklinikums haftet der Freistaat Sachsen als Gewährträger unbeschränkt, wenn und soweit die Befriedigung aus dem Vermögen des Universitätsklinikums nicht zu erlangen ist.</w:t>
      </w:r>
    </w:p>
    <w:p>
      <w:r>
        <w:t xml:space="preserve">(2) Das Universitätsklinikum steht unter der Rechtsaufsicht des Staatsministeriums für Wissenschaft und Kunst. Aufsichtszuständigkeiten nach anderen Rechtsvorschriften bleiben unberührt.</w:t>
      </w:r>
    </w:p>
    <w:p>
      <w:r>
        <w:t xml:space="preserve">(3) Die Gewährträgerschaft des Freistaates Sachsen wird durch das Staatsministerium für Wissenschaft und Kunst und das Staatsministerium der Finanzen gemeinsam wahrgenommen. Entscheidungen nach Absatz 4 sollen binnen vier Wochen ab Zugang der Vorlage beim Gewährträger getroffen werden.</w:t>
      </w:r>
    </w:p>
    <w:p>
      <w:r>
        <w:t xml:space="preserve">(4) Dem Gewährträger des Universitätsklinikums obliegt</w:t>
      </w:r>
    </w:p>
    <w:p>
      <w:r>
        <w:t xml:space="preserve">1. die Bestellung und Abberufung der Mitglieder des Aufsichtsrats gemäß § 9 Abs. 3 Nr. 5 und 6,</w:t>
      </w:r>
    </w:p>
    <w:p>
      <w:r>
        <w:t xml:space="preserve">2. die Entlastung des Aufsichtsrats,</w:t>
      </w:r>
    </w:p>
    <w:p>
      <w:r>
        <w:t xml:space="preserve">3. die Genehmigung des Wirtschaftsplanes und des Jahresabschlusses,</w:t>
      </w:r>
    </w:p>
    <w:p>
      <w:r>
        <w:t xml:space="preserve">4. der Erlass und die Änderung der Satzung im Benehmen mit dem Aufsichtsrat,</w:t>
      </w:r>
    </w:p>
    <w:p>
      <w:r>
        <w:t xml:space="preserve">5. die Bestellung des Wirtschaftsprüfers.</w:t>
      </w:r>
    </w:p>
    <w:p>
      <w:r>
        <w:t xml:space="preserve">(5) Die Satzung kann dem Gewährträger weitere Zuständigkeiten zuweisen.</w:t>
      </w:r>
    </w:p>
    <w:p>
      <w:r>
        <w:rPr>
          <w:color w:val="555555"/>
          <w:sz w:val="17"/>
        </w:rPr>
        <w:t xml:space="preserve">Zitiervorschlag: § 3 UKG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