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UIG 2005 — Anspruch auf Zugang zu Umweltinformationen</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Jede Person hat nach Maßgabe dieses Gesetzes Anspruch auf freien Zugang zu Umweltinformationen, über die eine informationspflichtige Stelle im Sinne des § 2 Absatz 1 verfügt, ohne ein rechtliches Interesse darlegen zu müssen. Daneben bleiben andere Ansprüche auf Zugang zu Informationen unberührt.</w:t>
      </w:r>
    </w:p>
    <w:p>
      <w:r>
        <w:t xml:space="preserve">(2) Der Zugang kann durch Auskunftserteilung, Gewährung von Akteneinsicht oder in sonstiger Weise eröffnet werden. Wird eine bestimmte Art des Informationszugangs beantragt, so darf dieser nur aus gewichtigen Gründen auf andere Art eröffnet werden. Als gewichtiger Grund gilt insbesondere ein deutlich höherer Verwaltungsaufwand. Soweit Umweltinformationen der antragstellenden Person bereits auf andere, leicht zugängliche Art, insbesondere durch Verbreitung nach § 10, zur Verfügung stehen, kann die informationspflichtige Stelle die Person auf diese Art des Informationszugangs verweisen.</w:t>
      </w:r>
    </w:p>
    <w:p>
      <w:r>
        <w:t xml:space="preserve">(3) Soweit ein Anspruch nach Absatz 1 besteht, sind die Umweltinformationen der antragstellenden Person unter Berücksichtigung etwaiger von ihr angegebener Zeitpunkte, spätestens jedoch mit Ablauf der Frist nach Satz 2 Nummer 1 oder Nummer 2 zugänglich zu machen. Die Frist beginnt mit Eingang des Antrags bei der informationspflichtigen Stelle, die über die Informationen verfügt, und endet</w:t>
      </w:r>
    </w:p>
    <w:p>
      <w:pPr>
        <w:ind w:left="420"/>
      </w:pPr>
      <w:r>
        <w:t xml:space="preserve">1. mit Ablauf eines Monats oder</w:t>
      </w:r>
    </w:p>
    <w:p>
      <w:pPr>
        <w:ind w:left="420"/>
      </w:pPr>
      <w:r>
        <w:t xml:space="preserve">2. soweit Umweltinformationen derart umfangreich und komplex sind, dass die in Nummer 1 genannte Frist nicht eingehalten werden kann, mit Ablauf von zwei Monaten.</w:t>
      </w:r>
    </w:p>
    <w:p>
      <w:r>
        <w:rPr>
          <w:color w:val="555555"/>
          <w:sz w:val="17"/>
        </w:rPr>
        <w:t xml:space="preserve">Zitiervorschlag: § 3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https://recht.nulegal.eu/gesetze/UIG%202005/3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