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UIG 2005 — Zweck des Gesetzes; Anwendungsbereich</w:t>
      </w:r>
    </w:p>
    <w:p>
      <w:r>
        <w:rPr>
          <w:color w:val="555555"/>
          <w:sz w:val="18"/>
        </w:rPr>
        <w:t xml:space="preserve">Umweltinformationsgesetz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Zweck dieses Gesetzes ist es, den rechtlichen Rahmen für den freien Zugang zu Umweltinformationen bei informationspflichtigen Stellen sowie für die Verbreitung dieser Umweltinformationen zu schaffen.</w:t>
      </w:r>
    </w:p>
    <w:p>
      <w:r>
        <w:t xml:space="preserve">(2) Dieses Gesetz gilt für informationspflichtige Stellen des Bundes und der bundesunmittelbaren juristischen Personen des öffentlichen Rechts.</w:t>
      </w:r>
    </w:p>
    <w:p>
      <w:r>
        <w:rPr>
          <w:color w:val="555555"/>
          <w:sz w:val="17"/>
        </w:rPr>
        <w:t xml:space="preserve">Zitiervorschlag: § 1 UIG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https://recht.nulegal.eu/gesetze/UIG%202005/1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