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UGG-GebO (Bayern) — Verweisungen</w:t>
      </w:r>
    </w:p>
    <w:p>
      <w:r>
        <w:rPr>
          <w:color w:val="555555"/>
          <w:sz w:val="18"/>
        </w:rPr>
        <w:t xml:space="preserve">Gebührenverordnung UGG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Art. 11 bis 19 des Kostengesetzes gelten entsprechend.</w:t>
      </w:r>
    </w:p>
    <w:p>
      <w:r>
        <w:rPr>
          <w:color w:val="555555"/>
          <w:sz w:val="17"/>
        </w:rPr>
        <w:t xml:space="preserve">Zitiervorschlag: § 6 UGG-GebO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https://recht.nulegal.eu/gesetze/UGG-GebO/6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