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UGG-GebO (Bayern) — Auslagen</w:t>
      </w:r>
    </w:p>
    <w:p>
      <w:r>
        <w:rPr>
          <w:color w:val="555555"/>
          <w:sz w:val="18"/>
        </w:rPr>
        <w:t xml:space="preserve">Gebührenverordnung UGG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Auslagen werden, soweit in den Gebührenverzeichnissen nichts anderes vorgesehen ist, nach Art. 10 des Kostengesetzes erhoben.</w:t>
      </w:r>
    </w:p>
    <w:p>
      <w:r>
        <w:t xml:space="preserve">(2) In den Gebührensätzen nach § 4 Abs. 1 und 2 sind die Aufwendungen für Materialverbrauch berücksichtigt. Bei Anwendung des § 4 Abs. 3 sind sie zusätzlich als Auslagen zu erheben.</w:t>
      </w:r>
    </w:p>
    <w:p>
      <w:r>
        <w:rPr>
          <w:color w:val="555555"/>
          <w:sz w:val="17"/>
        </w:rPr>
        <w:t xml:space="preserve">Zitiervorschlag: § 5 UGG-GebO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https://recht.nulegal.eu/gesetze/UGG-GebO/5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