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UGG-GebO (Bayern) — Schuldner der Benutzungsgebühren</w:t>
      </w:r>
    </w:p>
    <w:p>
      <w:r>
        <w:rPr>
          <w:color w:val="555555"/>
          <w:sz w:val="18"/>
        </w:rPr>
        <w:t xml:space="preserve">Gebührenverordnung UGG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Schuldner der Benutzungsgebühren sind diejenigen, die die Einrichtungen in Anspruch nehmen, im Übrigen diejenigen, in deren Interesse die Inanspruchnahme erfolgt.</w:t>
      </w:r>
    </w:p>
    <w:p>
      <w:r>
        <w:t xml:space="preserve">(2) Schuldner sind ferner diejenigen, die die Benutzungsgebühren gegenüber den Einrichtungen schriftlich übernehmen.</w:t>
      </w:r>
    </w:p>
    <w:p>
      <w:r>
        <w:t xml:space="preserve">(3) Mehrere Schuldner haften als Gesamtschuldner.</w:t>
      </w:r>
    </w:p>
    <w:p>
      <w:r>
        <w:rPr>
          <w:color w:val="555555"/>
          <w:sz w:val="17"/>
        </w:rPr>
        <w:t xml:space="preserve">Zitiervorschlag: § 2 UGG-GebO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https://recht.nulegal.eu/gesetze/UGG-GebO/2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