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UErgGDV 2</w:t>
      </w:r>
    </w:p>
    <w:p>
      <w:r>
        <w:rPr>
          <w:color w:val="555555"/>
          <w:sz w:val="18"/>
        </w:rPr>
        <w:t xml:space="preserve">Zweite Durchführungsverordnung zum Gesetz über die Ergänzung von Vorschriften des Umstellungsrechts und über die Ausstattung der Berliner Altbanken mit Ausgleichsforderungen (Umstellungsergänzungsgesetz) (Anmeldung von Ansprüchen aus Schuldverschreibungen Berliner Altbanken)</w:t>
      </w:r>
    </w:p>
    <w:p>
      <w:r>
        <w:rPr>
          <w:color w:val="555555"/>
          <w:sz w:val="18"/>
        </w:rPr>
        <w:t xml:space="preserve">Stand: 10.06.2019 (konsolidierte Textfassung, kein amtliches Inkrafttretensdatum)</w:t>
      </w:r>
    </w:p>
    <w:p>
      <w:r>
        <w:t xml:space="preserve">Nimmt der Berechtigte die Anmeldung selbst vor, so hat er Unterlagen über den Wohnsitz oder dauernden Aufenthaltsort, den Sitz oder Ort der Geschäftsleitung desjenigen beizufügen, der am 1. Oktober 1949 oder an einem nach § 7 Abs. 2 des Altbankengesetzes maßgebenden Zeitpunkt Gläubiger war.</w:t>
      </w:r>
    </w:p>
    <w:p>
      <w:r>
        <w:rPr>
          <w:color w:val="555555"/>
          <w:sz w:val="17"/>
        </w:rPr>
        <w:t xml:space="preserve">Zitiervorschlag: § 7 UErgGDV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https://recht.nulegal.eu/gesetze/UErgGDV%202/7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