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UErgGDV 2</w:t>
      </w:r>
    </w:p>
    <w:p>
      <w:r>
        <w:rPr>
          <w:color w:val="555555"/>
          <w:sz w:val="18"/>
        </w:rPr>
        <w:t xml:space="preserve">Zweite Durchführungsverordnung zum Gesetz über die Ergänzung von Vorschriften des Umstellungsrechts und über die Ausstattung der Berliner Altbanken mit Ausgleichsforderungen (Umstellungsergänzungsgesetz) (Anmeldung von Ansprüchen aus Schuldverschreibungen Berliner Altbanken)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für eine Schuldverschreibung eine Lieferbarkeitsbescheinigung ausgestellt worden, so kann die Vermittlungsstelle den Anspruch ohne Auftrag des Berechtigten (§ 1 Abs. 1) für ihn anmelden, sofern sie</w:t>
      </w:r>
    </w:p>
    <w:p>
      <w:pPr>
        <w:ind w:left="420"/>
      </w:pPr>
      <w:r>
        <w:t xml:space="preserve">1. für die Schuldverschreibung die Lieferbarkeitsbescheinigung ausgestellt hat,</w:t>
      </w:r>
    </w:p>
    <w:p>
      <w:pPr>
        <w:ind w:left="420"/>
      </w:pPr>
      <w:r>
        <w:t xml:space="preserve">2. die Schuldverschreibung bei Vornahme der Anmeldung in Erstverwahrung hat,</w:t>
      </w:r>
    </w:p>
    <w:p>
      <w:pPr>
        <w:ind w:left="420"/>
      </w:pPr>
      <w:r>
        <w:t xml:space="preserve">3. eine dem § 3 Abs. 2 bis 6 entsprechende Bestätigung abgeben kann,</w:t>
      </w:r>
    </w:p>
    <w:p>
      <w:pPr>
        <w:ind w:left="780"/>
      </w:pPr>
      <w:r>
        <w:t xml:space="preserve">a) bei Ausstellung der Lieferbarkeitsbescheinigung bis zum 1. Oktober 1949 für denjenigen, der am 1. Oktober 1949 Gläubiger war,</w:t>
      </w:r>
    </w:p>
    <w:p>
      <w:pPr>
        <w:ind w:left="780"/>
      </w:pPr>
      <w:r>
        <w:t xml:space="preserve">b) bei Ausstellung der Lieferbarkeitsbescheinigung nach dem 1. Oktober 1949 für denjenigen, für den die Lieferbarkeitsbescheinigung ausgestellt worden ist,</w:t>
      </w:r>
    </w:p>
    <w:p>
      <w:pPr>
        <w:ind w:left="420"/>
      </w:pPr>
      <w:r>
        <w:t xml:space="preserve">und ferner bestätigen kann, daß sie mit dieser Person nach dem 30. September 1949 in unmittelbarer Verbindung gestanden hat.</w:t>
      </w:r>
    </w:p>
    <w:p>
      <w:r>
        <w:rPr>
          <w:color w:val="555555"/>
          <w:sz w:val="17"/>
        </w:rPr>
        <w:t xml:space="preserve">Zitiervorschlag: § 4 UErgGDV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https://recht.nulegal.eu/gesetze/UErgGDV%202/4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