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UErgGDV 2</w:t>
      </w:r>
    </w:p>
    <w:p>
      <w:r>
        <w:rPr>
          <w:color w:val="555555"/>
          <w:sz w:val="18"/>
        </w:rPr>
        <w:t xml:space="preserve">Zweite Durchführungsverordnung zum Gesetz über die Ergänzung von Vorschriften des Umstellungsrechts und über die Ausstattung der Berliner Altbanken mit Ausgleichsforderungen (Umstellungsergänzungsgesetz) (Anmeldung von Ansprüchen aus Schuldverschreibungen Berliner Altbanken)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Verordnung tritt am Tage nach ihrer Verkündung in Kraft.</w:t>
      </w:r>
    </w:p>
    <w:p>
      <w:r>
        <w:rPr>
          <w:color w:val="555555"/>
          <w:sz w:val="17"/>
        </w:rPr>
        <w:t xml:space="preserve">Zitiervorschlag: § 10 UErgGDV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https://recht.nulegal.eu/gesetze/UErgGDV%202/10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