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Zinsen auf Uraltguthaben dürfen für die Zeit vom 1. Januar 1945 an nicht mehr gutgeschrieben werden.</w:t>
      </w:r>
    </w:p>
    <w:p>
      <w:r>
        <w:t xml:space="preserve">(2) Für die Zeit seit dem 1. Januar 1945 gutgeschriebene Zinsbeträge sind von der Umwandlung ausgeschlossen.</w:t>
      </w:r>
    </w:p>
    <w:p>
      <w:r>
        <w:rPr>
          <w:color w:val="555555"/>
          <w:sz w:val="17"/>
        </w:rPr>
        <w:t xml:space="preserve">Zitiervorschlag: § 8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