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UErgG</w:t>
      </w:r>
    </w:p>
    <w:p>
      <w:r>
        <w:rPr>
          <w:color w:val="555555"/>
          <w:sz w:val="18"/>
        </w:rPr>
        <w:t xml:space="preserve">Umstellungsergänzungsgesetz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Umwandlung von Uraltguthaben werden nur volle Reichsmarkbeträge berücksichtigt.</w:t>
      </w:r>
    </w:p>
    <w:p>
      <w:r>
        <w:rPr>
          <w:color w:val="555555"/>
          <w:sz w:val="17"/>
        </w:rPr>
        <w:t xml:space="preserve">Zitiervorschlag: § 7 UErgG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