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UErgG</w:t>
      </w:r>
    </w:p>
    <w:p>
      <w:r>
        <w:rPr>
          <w:color w:val="555555"/>
          <w:sz w:val="18"/>
        </w:rPr>
        <w:t xml:space="preserve">Umstellungsergänzungsgesetz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ersten Tage des zweiten Kalendermonats in Kraft, der auf die Verkündung dieses Gesetzes im Bundesgesetzblatt folgt.</w:t>
      </w:r>
    </w:p>
    <w:p>
      <w:r>
        <w:rPr>
          <w:color w:val="555555"/>
          <w:sz w:val="17"/>
        </w:rPr>
        <w:t xml:space="preserve">Zitiervorschlag: § 58 UErgG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https://recht.nulegal.eu/gesetze/UErgG/58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