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Rechtsverordnungen, die auf Grund der in diesem Gesetz enthaltenen Ermächtigungen erlassen werden, gelten in Berlin (West) nach § 14 des Dritten Überleitungsgesetzes.</w:t>
      </w:r>
    </w:p>
    <w:p>
      <w:r>
        <w:t xml:space="preserve">(2) § 35 Abs. 3 und § 50 Abs. 2 gelten in Berlin (West) mit der Maßgabe, daß an die Stelle des § 11 Abs. ... 4 des Umstellungsgesetzes und des § 11 Abs. 3 der Zweiten Durchführungsverordnung zum Umstellungsgesetz die Ziffer 3 Buchstabe c der Umstellungsergänzungsverordnung vom 20. März 1949 (Verordnungsblatt für Groß-Berlin Teil I S. 88) tritt.</w:t>
      </w:r>
    </w:p>
    <w:p>
      <w:r>
        <w:rPr>
          <w:color w:val="555555"/>
          <w:sz w:val="17"/>
        </w:rPr>
        <w:t xml:space="preserve">Zitiervorschlag: § 57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