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49 UErgG</w:t>
      </w:r>
    </w:p>
    <w:p>
      <w:r>
        <w:rPr>
          <w:color w:val="555555"/>
          <w:sz w:val="18"/>
        </w:rPr>
        <w:t xml:space="preserve">Umstellungsergänzungsgesetz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Anspruch auf Gewährung der Ausgleichsforderung gemäß § 45 wird auf Grund der bestätigten Altbankenrechnung von der Berliner Bankaufsichtsbehörde festgestellt. Wird die Altbankenrechnung berichtigt, so ist auch die nach Satz 1 getroffene Feststellung zu berichtigen. Die Feststellung und eine etwaige Berichtigung sind dem Bundesminister der Finanzen mitzuteilen.</w:t>
      </w:r>
    </w:p>
    <w:p>
      <w:r>
        <w:rPr>
          <w:color w:val="555555"/>
          <w:sz w:val="17"/>
        </w:rPr>
        <w:t xml:space="preserve">Zitiervorschlag: § 49 UErgG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https://recht.nulegal.eu/gesetze/UErgG/49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