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für Schuldverschreibungen oder Verpflichtungen aus Schuldurkunden gesetzlich oder vertraglich eine Deckung unterhalten werden muß, darf die mit jährlich 4 1/2 vom Hundert zu verzinsende Ausgleichsforderung einer Altbank zum Nennwert als Deckung benutzt werden.</w:t>
      </w:r>
    </w:p>
    <w:p>
      <w:r>
        <w:t xml:space="preserve">(2) Im übrigen können die Ausgleichsforderungen der Geldinstitute als vorläufige Deckung im Sinne des § 6 Abs. 4 des Hypothekenbankgesetzes und entsprechender Vorschriften in anderen Gesetzen oder Verträgen verwandt werden.</w:t>
      </w:r>
    </w:p>
    <w:p>
      <w:r>
        <w:rPr>
          <w:color w:val="555555"/>
          <w:sz w:val="17"/>
        </w:rPr>
        <w:t xml:space="preserve">Zitiervorschlag: § 48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