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Ausgleichsforderungen sind Schuldbuchforderungen. Sie werden auf Ersuchen des Bundesministers der Finanzen in das Bundesschuldbuch eingetragen.</w:t>
      </w:r>
    </w:p>
    <w:p>
      <w:r>
        <w:t xml:space="preserve">(2) Schuldverschreibungen gegen Löschung der Forderungen werden nicht ausgereicht. Im Übrigen gilt das Bundesschuldenwesengesetz.</w:t>
      </w:r>
    </w:p>
    <w:p>
      <w:r>
        <w:t xml:space="preserve">(3) Auf die Ausgleichsforderungen sind § 11 Abs. 4 des Umstellungsgesetzes und § 11 Abs. 3 der Zweiten Durchführungsverordnung zum Umstellungsgesetz anzuwenden.</w:t>
      </w:r>
    </w:p>
    <w:p>
      <w:r>
        <w:rPr>
          <w:color w:val="555555"/>
          <w:sz w:val="17"/>
        </w:rPr>
        <w:t xml:space="preserve">Zitiervorschlag: § 35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