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Neue Institut hat den sich aus der bestätigten Anerkennung oder aus der gerichtlichen Feststellung ergebenden Betrag dem Berechtigten mit Wertstellung vom 1. Januar 1953 in Deutscher Mark gutzuschreiben (Neugeldguthaben).</w:t>
      </w:r>
    </w:p>
    <w:p>
      <w:r>
        <w:t xml:space="preserve">(2) War das Uraltguthaben ein Sparguthaben, so ist das Neugeldguthaben als Sparguthaben mit gesetzlicher Kündigungsfrist zu führen. Alle übrigen Neugeldguthaben sind, wenn nichts anderes vereinbart wird, als Sichteinlagen zu führen.</w:t>
      </w:r>
    </w:p>
    <w:p>
      <w:r>
        <w:rPr>
          <w:color w:val="555555"/>
          <w:sz w:val="17"/>
        </w:rPr>
        <w:t xml:space="preserve">Zitiervorschlag: § 29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