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Gerichtskosten gelten, soweit nichts anderes bestimmt ist, die Vorschriften der Kostenordnung vom 25. November 1935 (Reichsgesetzbl. I S. 1371).</w:t>
      </w:r>
    </w:p>
    <w:p>
      <w:r>
        <w:t xml:space="preserve">(2) Für das gerichtliche Verfahren wird die volle Gebühr erhoben. Wird der Antrag zurückgenommen, bevor es zu einer Entscheidung des Gerichts gekommen ist, so ermäßigt sich die Gebühr auf die Hälfte.</w:t>
      </w:r>
    </w:p>
    <w:p>
      <w:r>
        <w:t xml:space="preserve">(3) Im Beschwerdeverfahren wird das Doppelte der vollen Gebühr erhoben. Absatz 2 Satz 2 gilt entsprechend.</w:t>
      </w:r>
    </w:p>
    <w:p>
      <w:r>
        <w:rPr>
          <w:color w:val="555555"/>
          <w:sz w:val="17"/>
        </w:rPr>
        <w:t xml:space="preserve">Zitiervorschlag: § 27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