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nach § 21 Abs. 2 entscheidet eine Zivilkammer des Landgerichts Berlin. Der Bund ist am Verfahren beteiligt; Entscheidungen sind dem Bundesminister der Finanzen zu Händen der Berliner Bankaufsichtsbehörde zuzustellen.</w:t>
      </w:r>
    </w:p>
    <w:p>
      <w:r>
        <w:t xml:space="preserve">(2) Für das gerichtliche Verfahren gelten die Vorschriften des Gesetzes über das Verfahren in Familiensachen und in den Angelegenheiten der freiwilligen Gerichtsbarkeit, soweit in diesem Gesetz nichts anderes bestimmt ist.</w:t>
      </w:r>
    </w:p>
    <w:p>
      <w:r>
        <w:rPr>
          <w:color w:val="555555"/>
          <w:sz w:val="17"/>
        </w:rPr>
        <w:t xml:space="preserve">Zitiervorschlag: § 22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