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Berliner Bankaufsichtsbehörde überwacht die Anerkennung der Umwandlungsfähigkeit von Uraltguthaben. Die Anerkennung bedarf ihrer Bestätigung.</w:t>
      </w:r>
    </w:p>
    <w:p>
      <w:r>
        <w:t xml:space="preserve">(2) Durch die Überwachung und Bestätigung der Anerkennung wird die Verantwortlichkeit der Verwaltungsstelle des Alten Instituts nicht ausgeschlossen.</w:t>
      </w:r>
    </w:p>
    <w:p>
      <w:r>
        <w:rPr>
          <w:color w:val="555555"/>
          <w:sz w:val="17"/>
        </w:rPr>
        <w:t xml:space="preserve">Zitiervorschlag: § 19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